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Stadt-,/Markt-/Gemeindeamt</w:t>
      </w: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Pol. Bezirk</w:t>
      </w:r>
    </w:p>
    <w:p w:rsidR="00D822E8" w:rsidRDefault="00D822E8" w:rsidP="002C5299">
      <w:pPr>
        <w:tabs>
          <w:tab w:val="left" w:pos="1080"/>
          <w:tab w:val="left" w:pos="3960"/>
          <w:tab w:val="left" w:pos="8460"/>
          <w:tab w:val="left" w:pos="9180"/>
          <w:tab w:val="left" w:pos="11340"/>
        </w:tabs>
        <w:ind w:right="53"/>
        <w:jc w:val="right"/>
        <w:rPr>
          <w:rFonts w:cs="Arial"/>
          <w:lang w:val="it-IT"/>
        </w:rPr>
      </w:pPr>
      <w:r>
        <w:rPr>
          <w:rFonts w:cs="Arial"/>
          <w:lang w:val="de-DE"/>
        </w:rPr>
        <w:t xml:space="preserve">Datum </w:t>
      </w:r>
      <w:r w:rsidRPr="004F40BD">
        <w:rPr>
          <w:rFonts w:cs="Arial"/>
          <w:lang w:val="de-DE"/>
        </w:rPr>
        <w:fldChar w:fldCharType="begin"/>
      </w:r>
      <w:r w:rsidRPr="004F40BD">
        <w:rPr>
          <w:rFonts w:cs="Arial"/>
          <w:lang w:val="de-DE"/>
        </w:rPr>
        <w:instrText xml:space="preserve"> INCLUDETEXT "O:\\IBMergeWork\\Vorlagen\\Textbausteine\\laender.doc" </w:instrText>
      </w:r>
      <w:r w:rsidRPr="004F40BD">
        <w:rPr>
          <w:rFonts w:cs="Arial"/>
          <w:noProof/>
          <w:lang w:val="de-DE"/>
        </w:rPr>
        <w:instrText>A</w:instrText>
      </w:r>
      <w:r w:rsidRPr="004F40BD">
        <w:rPr>
          <w:rFonts w:cs="Arial"/>
          <w:lang w:val="de-DE"/>
        </w:rPr>
        <w:instrText xml:space="preserve"> \* MERGEFORMAT </w:instrText>
      </w:r>
      <w:r w:rsidRPr="004F40BD">
        <w:rPr>
          <w:rFonts w:cs="Arial"/>
          <w:lang w:val="de-DE"/>
        </w:rPr>
        <w:fldChar w:fldCharType="end"/>
      </w:r>
      <w:r>
        <w:rPr>
          <w:rFonts w:cs="Arial"/>
          <w:lang w:val="it-IT"/>
        </w:rPr>
        <w:t>………………..</w:t>
      </w:r>
    </w:p>
    <w:p w:rsidR="00D822E8" w:rsidRDefault="00D822E8">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Herrn/Frau</w:t>
      </w:r>
    </w:p>
    <w:p w:rsidR="00D822E8" w:rsidRPr="002C5299"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BE780E" w:rsidRDefault="00BE780E">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7B48AB" w:rsidRPr="002C5299" w:rsidRDefault="007B48AB">
      <w:pPr>
        <w:tabs>
          <w:tab w:val="left" w:pos="1080"/>
          <w:tab w:val="left" w:pos="3960"/>
          <w:tab w:val="left" w:pos="8460"/>
          <w:tab w:val="left" w:pos="9180"/>
          <w:tab w:val="left" w:pos="11340"/>
        </w:tabs>
        <w:ind w:right="53"/>
        <w:rPr>
          <w:rFonts w:cs="Arial"/>
          <w:lang w:val="de-DE"/>
        </w:rPr>
      </w:pPr>
    </w:p>
    <w:p w:rsidR="00D822E8" w:rsidRPr="004F40BD" w:rsidRDefault="00D822E8" w:rsidP="002C5299">
      <w:pPr>
        <w:tabs>
          <w:tab w:val="left" w:pos="1080"/>
          <w:tab w:val="left" w:pos="3960"/>
          <w:tab w:val="left" w:pos="8460"/>
          <w:tab w:val="left" w:pos="9180"/>
          <w:tab w:val="left" w:pos="11340"/>
        </w:tabs>
        <w:ind w:right="53"/>
        <w:jc w:val="both"/>
        <w:rPr>
          <w:rFonts w:cs="Arial"/>
          <w:lang w:val="de-DE"/>
        </w:rPr>
      </w:pPr>
    </w:p>
    <w:p w:rsidR="00D822E8" w:rsidRPr="002E56D2" w:rsidRDefault="00D822E8" w:rsidP="00116E07">
      <w:pPr>
        <w:pStyle w:val="Textkrper-Zeileneinzug"/>
        <w:ind w:left="1260" w:hanging="1260"/>
        <w:jc w:val="center"/>
        <w:rPr>
          <w:rFonts w:ascii="Arial" w:hAnsi="Arial" w:cs="Arial"/>
          <w:b/>
          <w:sz w:val="24"/>
        </w:rPr>
      </w:pPr>
      <w:r w:rsidRPr="002E56D2">
        <w:rPr>
          <w:rFonts w:ascii="Arial" w:hAnsi="Arial" w:cs="Arial"/>
          <w:b/>
          <w:sz w:val="24"/>
        </w:rPr>
        <w:t>B E S C H E I D</w:t>
      </w:r>
    </w:p>
    <w:p w:rsidR="00D822E8" w:rsidRDefault="00D822E8">
      <w:pPr>
        <w:rPr>
          <w:rFonts w:cs="Arial"/>
        </w:rPr>
      </w:pPr>
    </w:p>
    <w:p w:rsidR="00A66BDA" w:rsidRPr="00A66BDA" w:rsidRDefault="00A66BDA" w:rsidP="00A66BDA">
      <w:pPr>
        <w:rPr>
          <w:rFonts w:cs="Arial"/>
        </w:rPr>
      </w:pPr>
      <w:r w:rsidRPr="00A66BDA">
        <w:rPr>
          <w:rFonts w:cs="Arial"/>
        </w:rPr>
        <w:t>Sie haben die pauschale Tourismusabgabe für Ihre F</w:t>
      </w:r>
      <w:r>
        <w:rPr>
          <w:rFonts w:cs="Arial"/>
        </w:rPr>
        <w:t>reizeit</w:t>
      </w:r>
      <w:r w:rsidRPr="00A66BDA">
        <w:rPr>
          <w:rFonts w:cs="Arial"/>
        </w:rPr>
        <w:t xml:space="preserve">wohnung im Kalenderjahr ............. </w:t>
      </w:r>
      <w:r w:rsidR="00F25447" w:rsidRPr="00A66BDA">
        <w:rPr>
          <w:rFonts w:cs="Arial"/>
        </w:rPr>
        <w:t xml:space="preserve">zur Fälligkeit </w:t>
      </w:r>
      <w:r w:rsidR="00195F55">
        <w:rPr>
          <w:rFonts w:cs="Arial"/>
        </w:rPr>
        <w:t xml:space="preserve">nicht </w:t>
      </w:r>
      <w:r w:rsidR="00195F55" w:rsidRPr="00195F55">
        <w:rPr>
          <w:rFonts w:cs="Arial"/>
        </w:rPr>
        <w:t xml:space="preserve">unaufgefordert unter Bekanntgabe der Nutzfläche der Freizeitwohnung </w:t>
      </w:r>
      <w:r w:rsidRPr="00A66BDA">
        <w:rPr>
          <w:rFonts w:cs="Arial"/>
        </w:rPr>
        <w:t>entrichtet.</w:t>
      </w:r>
    </w:p>
    <w:p w:rsidR="00A66BDA" w:rsidRPr="00A66BDA" w:rsidRDefault="00A66BDA" w:rsidP="00A66BDA">
      <w:pPr>
        <w:rPr>
          <w:rFonts w:cs="Arial"/>
        </w:rPr>
      </w:pPr>
    </w:p>
    <w:p w:rsidR="00A66BDA" w:rsidRPr="00A66BDA" w:rsidRDefault="00A66BDA" w:rsidP="00A66BDA">
      <w:pPr>
        <w:rPr>
          <w:rFonts w:cs="Arial"/>
        </w:rPr>
      </w:pPr>
      <w:r w:rsidRPr="00A66BDA">
        <w:rPr>
          <w:rFonts w:cs="Arial"/>
        </w:rPr>
        <w:t xml:space="preserve">Vom Bürgermeister ergeht als Abgabenbehörde gemäß § 2 Abs. 1 Z. </w:t>
      </w:r>
      <w:r w:rsidR="00F341E7">
        <w:rPr>
          <w:rFonts w:cs="Arial"/>
        </w:rPr>
        <w:t>4</w:t>
      </w:r>
      <w:r w:rsidRPr="00A66BDA">
        <w:rPr>
          <w:rFonts w:cs="Arial"/>
        </w:rPr>
        <w:t xml:space="preserve"> Oö. Abgabengesetz </w:t>
      </w:r>
      <w:proofErr w:type="spellStart"/>
      <w:r w:rsidR="0053405D">
        <w:rPr>
          <w:rFonts w:cs="Arial"/>
        </w:rPr>
        <w:t>iVm</w:t>
      </w:r>
      <w:proofErr w:type="spellEnd"/>
      <w:r w:rsidR="0053405D">
        <w:rPr>
          <w:rFonts w:cs="Arial"/>
        </w:rPr>
        <w:t xml:space="preserve"> § 55 Abs. 5 Oö. Tourismusgesetz 2018 </w:t>
      </w:r>
      <w:r w:rsidRPr="00A66BDA">
        <w:rPr>
          <w:rFonts w:cs="Arial"/>
        </w:rPr>
        <w:t xml:space="preserve">nunmehr nachstehender </w:t>
      </w:r>
    </w:p>
    <w:p w:rsidR="00A66BDA" w:rsidRPr="004F40BD" w:rsidRDefault="00A66BDA">
      <w:pPr>
        <w:rPr>
          <w:rFonts w:cs="Arial"/>
        </w:rPr>
      </w:pPr>
    </w:p>
    <w:p w:rsidR="00D822E8" w:rsidRDefault="00D822E8" w:rsidP="002C5299">
      <w:pPr>
        <w:jc w:val="both"/>
        <w:rPr>
          <w:rFonts w:cs="Arial"/>
        </w:rPr>
      </w:pPr>
    </w:p>
    <w:p w:rsidR="00D822E8" w:rsidRPr="004F40BD" w:rsidRDefault="00D822E8" w:rsidP="001F5A7E">
      <w:pPr>
        <w:jc w:val="center"/>
        <w:rPr>
          <w:rFonts w:cs="Arial"/>
          <w:b/>
        </w:rPr>
      </w:pPr>
      <w:r w:rsidRPr="004F40BD">
        <w:rPr>
          <w:rFonts w:cs="Arial"/>
          <w:b/>
        </w:rPr>
        <w:t>S P R U C H</w:t>
      </w:r>
      <w:r>
        <w:rPr>
          <w:rFonts w:cs="Arial"/>
          <w:b/>
        </w:rPr>
        <w:t>:</w:t>
      </w:r>
    </w:p>
    <w:p w:rsidR="00D822E8" w:rsidRPr="004F40BD" w:rsidDel="0062196C" w:rsidRDefault="00D822E8">
      <w:pPr>
        <w:rPr>
          <w:rFonts w:cs="Arial"/>
        </w:rPr>
      </w:pPr>
    </w:p>
    <w:p w:rsidR="00D822E8" w:rsidRPr="00A66BDA" w:rsidRDefault="004F5ADF" w:rsidP="00DF6422">
      <w:pPr>
        <w:pStyle w:val="Listenabsatz"/>
        <w:numPr>
          <w:ilvl w:val="0"/>
          <w:numId w:val="7"/>
        </w:numPr>
        <w:ind w:left="426" w:hanging="426"/>
        <w:jc w:val="both"/>
        <w:rPr>
          <w:rFonts w:cs="Arial"/>
        </w:rPr>
      </w:pPr>
      <w:r w:rsidRPr="00A66BDA">
        <w:rPr>
          <w:rFonts w:cs="Arial"/>
        </w:rPr>
        <w:t xml:space="preserve">Die </w:t>
      </w:r>
      <w:r w:rsidR="00F73972" w:rsidRPr="00A66BDA">
        <w:rPr>
          <w:rFonts w:cs="Arial"/>
        </w:rPr>
        <w:t>Freizeitwohnungs</w:t>
      </w:r>
      <w:r w:rsidRPr="00A66BDA">
        <w:rPr>
          <w:rFonts w:cs="Arial"/>
        </w:rPr>
        <w:t>pauschale</w:t>
      </w:r>
      <w:r w:rsidR="00D822E8" w:rsidRPr="00A66BDA">
        <w:rPr>
          <w:rFonts w:cs="Arial"/>
        </w:rPr>
        <w:t xml:space="preserve"> für die </w:t>
      </w:r>
      <w:r w:rsidR="00A66BDA" w:rsidRPr="00A66BDA">
        <w:rPr>
          <w:rFonts w:cs="Arial"/>
        </w:rPr>
        <w:t>Freizeitwohnung in</w:t>
      </w:r>
      <w:r w:rsidR="00D822E8" w:rsidRPr="00A66BDA">
        <w:rPr>
          <w:rFonts w:cs="Arial"/>
        </w:rPr>
        <w:t xml:space="preserve"> </w:t>
      </w:r>
      <w:r w:rsidR="001A62EE" w:rsidRPr="00A66BDA">
        <w:rPr>
          <w:highlight w:val="yellow"/>
        </w:rPr>
        <w:t>…</w:t>
      </w:r>
      <w:r w:rsidR="002F0559" w:rsidRPr="00A66BDA">
        <w:rPr>
          <w:rFonts w:cs="Arial"/>
        </w:rPr>
        <w:t xml:space="preserve"> </w:t>
      </w:r>
      <w:r w:rsidR="00D822E8" w:rsidRPr="00A66BDA">
        <w:rPr>
          <w:rFonts w:cs="Arial"/>
        </w:rPr>
        <w:t xml:space="preserve">wird </w:t>
      </w:r>
      <w:r w:rsidR="00F73972" w:rsidRPr="00A66BDA">
        <w:rPr>
          <w:rFonts w:cs="Arial"/>
        </w:rPr>
        <w:t xml:space="preserve">für das Jahr </w:t>
      </w:r>
      <w:r w:rsidR="00F73972" w:rsidRPr="00A66BDA">
        <w:rPr>
          <w:rFonts w:cs="Arial"/>
          <w:highlight w:val="yellow"/>
        </w:rPr>
        <w:t>….</w:t>
      </w:r>
      <w:r w:rsidR="00F73972" w:rsidRPr="00A66BDA">
        <w:rPr>
          <w:rFonts w:cs="Arial"/>
        </w:rPr>
        <w:t xml:space="preserve"> </w:t>
      </w:r>
      <w:r w:rsidR="00A66BDA" w:rsidRPr="00A66BDA">
        <w:rPr>
          <w:rFonts w:cs="Arial"/>
        </w:rPr>
        <w:t xml:space="preserve">wie folgt </w:t>
      </w:r>
      <w:r w:rsidR="00D822E8" w:rsidRPr="00A66BDA">
        <w:rPr>
          <w:rFonts w:cs="Arial"/>
        </w:rPr>
        <w:t>festgesetzt:</w:t>
      </w:r>
    </w:p>
    <w:p w:rsidR="004F5ADF" w:rsidRDefault="004F5ADF" w:rsidP="00A66BDA">
      <w:pPr>
        <w:pStyle w:val="Listenabsatz"/>
        <w:ind w:left="0"/>
        <w:jc w:val="both"/>
        <w:rPr>
          <w:rFonts w:cs="Arial"/>
        </w:rPr>
      </w:pPr>
    </w:p>
    <w:p w:rsidR="00A66BDA" w:rsidRDefault="00A66BDA" w:rsidP="00A66BDA">
      <w:pPr>
        <w:pStyle w:val="Listenabsatz"/>
        <w:ind w:left="0"/>
        <w:jc w:val="both"/>
        <w:rPr>
          <w:rFonts w:cs="Arial"/>
        </w:rPr>
      </w:pPr>
      <w:r>
        <w:rPr>
          <w:rFonts w:cs="Arial"/>
        </w:rPr>
        <w:t>Bemessungsgrundlagen:</w:t>
      </w:r>
    </w:p>
    <w:p w:rsidR="00D822E8" w:rsidRDefault="00D822E8" w:rsidP="002E56D2">
      <w:pPr>
        <w:pStyle w:val="Kopfzeile"/>
        <w:tabs>
          <w:tab w:val="left" w:pos="284"/>
        </w:tabs>
      </w:pPr>
    </w:p>
    <w:tbl>
      <w:tblPr>
        <w:tblW w:w="504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1"/>
        <w:gridCol w:w="1662"/>
        <w:gridCol w:w="1662"/>
        <w:gridCol w:w="1662"/>
        <w:gridCol w:w="1658"/>
        <w:gridCol w:w="1658"/>
      </w:tblGrid>
      <w:tr w:rsidR="00F25447" w:rsidRPr="00DF6422" w:rsidTr="00DF6422">
        <w:trPr>
          <w:cantSplit/>
          <w:jc w:val="center"/>
        </w:trPr>
        <w:tc>
          <w:tcPr>
            <w:tcW w:w="963" w:type="pct"/>
            <w:tcBorders>
              <w:top w:val="single" w:sz="4" w:space="0" w:color="auto"/>
            </w:tcBorders>
            <w:vAlign w:val="center"/>
          </w:tcPr>
          <w:p w:rsidR="00F25447" w:rsidRPr="00DF6422" w:rsidRDefault="00F25447" w:rsidP="00C2701D">
            <w:pPr>
              <w:pStyle w:val="Kopfzeile"/>
              <w:jc w:val="center"/>
              <w:rPr>
                <w:sz w:val="22"/>
                <w:szCs w:val="22"/>
              </w:rPr>
            </w:pPr>
          </w:p>
        </w:tc>
        <w:tc>
          <w:tcPr>
            <w:tcW w:w="808" w:type="pct"/>
            <w:tcBorders>
              <w:top w:val="single" w:sz="4" w:space="0" w:color="auto"/>
            </w:tcBorders>
          </w:tcPr>
          <w:p w:rsidR="00DF6422" w:rsidRDefault="00DF6422" w:rsidP="00F73972">
            <w:pPr>
              <w:pStyle w:val="Kopfzeile"/>
              <w:jc w:val="center"/>
              <w:rPr>
                <w:rFonts w:cs="Arial"/>
                <w:sz w:val="22"/>
                <w:szCs w:val="22"/>
              </w:rPr>
            </w:pPr>
          </w:p>
          <w:p w:rsidR="00F25447" w:rsidRPr="00DF6422" w:rsidRDefault="00F25447" w:rsidP="00F73972">
            <w:pPr>
              <w:pStyle w:val="Kopfzeile"/>
              <w:jc w:val="center"/>
              <w:rPr>
                <w:sz w:val="22"/>
                <w:szCs w:val="22"/>
              </w:rPr>
            </w:pPr>
            <w:r w:rsidRPr="00DF6422">
              <w:rPr>
                <w:rFonts w:cs="Arial"/>
                <w:sz w:val="22"/>
                <w:szCs w:val="22"/>
              </w:rPr>
              <w:t>Nutzfläche</w:t>
            </w:r>
          </w:p>
        </w:tc>
        <w:tc>
          <w:tcPr>
            <w:tcW w:w="808" w:type="pct"/>
            <w:tcBorders>
              <w:top w:val="single" w:sz="4" w:space="0" w:color="auto"/>
            </w:tcBorders>
            <w:vAlign w:val="center"/>
          </w:tcPr>
          <w:p w:rsidR="00F25447" w:rsidRPr="00DF6422" w:rsidRDefault="00F25447" w:rsidP="00F73972">
            <w:pPr>
              <w:pStyle w:val="Kopfzeile"/>
              <w:jc w:val="center"/>
              <w:rPr>
                <w:sz w:val="22"/>
                <w:szCs w:val="22"/>
              </w:rPr>
            </w:pPr>
            <w:r w:rsidRPr="00DF6422">
              <w:rPr>
                <w:sz w:val="22"/>
                <w:szCs w:val="22"/>
              </w:rPr>
              <w:t>Höhe der Ortstaxe je Nächtigung</w:t>
            </w:r>
          </w:p>
        </w:tc>
        <w:tc>
          <w:tcPr>
            <w:tcW w:w="808" w:type="pct"/>
            <w:tcBorders>
              <w:top w:val="single" w:sz="4" w:space="0" w:color="auto"/>
            </w:tcBorders>
            <w:vAlign w:val="center"/>
          </w:tcPr>
          <w:p w:rsidR="00F25447" w:rsidRPr="00DF6422" w:rsidRDefault="00F25447" w:rsidP="00C2701D">
            <w:pPr>
              <w:pStyle w:val="Kopfzeile"/>
              <w:jc w:val="center"/>
              <w:rPr>
                <w:sz w:val="22"/>
                <w:szCs w:val="22"/>
              </w:rPr>
            </w:pPr>
            <w:r w:rsidRPr="00DF6422">
              <w:rPr>
                <w:sz w:val="22"/>
                <w:szCs w:val="22"/>
              </w:rPr>
              <w:t>Pauscha</w:t>
            </w:r>
            <w:r w:rsidRPr="00DF6422">
              <w:rPr>
                <w:sz w:val="22"/>
                <w:szCs w:val="22"/>
              </w:rPr>
              <w:softHyphen/>
              <w:t>lierung</w:t>
            </w:r>
          </w:p>
        </w:tc>
        <w:tc>
          <w:tcPr>
            <w:tcW w:w="806" w:type="pct"/>
            <w:tcBorders>
              <w:top w:val="single" w:sz="4" w:space="0" w:color="auto"/>
            </w:tcBorders>
            <w:vAlign w:val="center"/>
          </w:tcPr>
          <w:p w:rsidR="00F25447" w:rsidRPr="00DF6422" w:rsidRDefault="00F25447" w:rsidP="00F25447">
            <w:pPr>
              <w:pStyle w:val="Kopfzeile"/>
              <w:jc w:val="center"/>
              <w:rPr>
                <w:sz w:val="22"/>
                <w:szCs w:val="22"/>
              </w:rPr>
            </w:pPr>
            <w:r w:rsidRPr="00DF6422">
              <w:rPr>
                <w:sz w:val="22"/>
                <w:szCs w:val="22"/>
              </w:rPr>
              <w:t>Jährliche Freizeit</w:t>
            </w:r>
            <w:r w:rsidRPr="00DF6422">
              <w:rPr>
                <w:sz w:val="22"/>
                <w:szCs w:val="22"/>
              </w:rPr>
              <w:softHyphen/>
              <w:t>wohnungs</w:t>
            </w:r>
            <w:r w:rsidRPr="00DF6422">
              <w:rPr>
                <w:sz w:val="22"/>
                <w:szCs w:val="22"/>
              </w:rPr>
              <w:softHyphen/>
              <w:t>pauschale</w:t>
            </w:r>
          </w:p>
        </w:tc>
        <w:tc>
          <w:tcPr>
            <w:tcW w:w="806" w:type="pct"/>
            <w:tcBorders>
              <w:top w:val="single" w:sz="4" w:space="0" w:color="auto"/>
            </w:tcBorders>
          </w:tcPr>
          <w:p w:rsidR="00DF6422" w:rsidRDefault="00DF6422" w:rsidP="00151B55">
            <w:pPr>
              <w:pStyle w:val="Kopfzeile"/>
              <w:jc w:val="center"/>
              <w:rPr>
                <w:sz w:val="22"/>
                <w:szCs w:val="22"/>
              </w:rPr>
            </w:pPr>
          </w:p>
          <w:p w:rsidR="00F25447" w:rsidRPr="00DF6422" w:rsidRDefault="00F25447" w:rsidP="00151B55">
            <w:pPr>
              <w:pStyle w:val="Kopfzeile"/>
              <w:jc w:val="center"/>
              <w:rPr>
                <w:sz w:val="22"/>
                <w:szCs w:val="22"/>
              </w:rPr>
            </w:pPr>
            <w:r w:rsidRPr="00DF6422">
              <w:rPr>
                <w:sz w:val="22"/>
                <w:szCs w:val="22"/>
              </w:rPr>
              <w:t>Zu entrichten (</w:t>
            </w:r>
            <w:r w:rsidRPr="00DF6422">
              <w:rPr>
                <w:sz w:val="22"/>
                <w:szCs w:val="22"/>
                <w:highlight w:val="yellow"/>
              </w:rPr>
              <w:t>12</w:t>
            </w:r>
            <w:r w:rsidR="00DF6422">
              <w:rPr>
                <w:sz w:val="22"/>
                <w:szCs w:val="22"/>
                <w:highlight w:val="yellow"/>
              </w:rPr>
              <w:t xml:space="preserve"> </w:t>
            </w:r>
            <w:r w:rsidR="00DF6422" w:rsidRPr="00DF6422">
              <w:rPr>
                <w:b/>
                <w:sz w:val="20"/>
                <w:szCs w:val="20"/>
                <w:highlight w:val="yellow"/>
                <w:vertAlign w:val="superscript"/>
              </w:rPr>
              <w:t>3</w:t>
            </w:r>
            <w:r w:rsidRPr="00DF6422">
              <w:rPr>
                <w:b/>
                <w:sz w:val="20"/>
                <w:szCs w:val="20"/>
                <w:vertAlign w:val="superscript"/>
              </w:rPr>
              <w:t>)</w:t>
            </w:r>
            <w:r w:rsidRPr="00DF6422">
              <w:rPr>
                <w:sz w:val="22"/>
                <w:szCs w:val="22"/>
              </w:rPr>
              <w:t>/12tel)</w:t>
            </w:r>
          </w:p>
        </w:tc>
      </w:tr>
      <w:tr w:rsidR="00F25447" w:rsidRPr="00CB15FA" w:rsidTr="00DF6422">
        <w:trPr>
          <w:cantSplit/>
          <w:jc w:val="center"/>
        </w:trPr>
        <w:tc>
          <w:tcPr>
            <w:tcW w:w="963" w:type="pct"/>
            <w:vAlign w:val="center"/>
          </w:tcPr>
          <w:p w:rsidR="00F25447" w:rsidRPr="00CB15FA" w:rsidRDefault="00F25447" w:rsidP="00C2701D">
            <w:pPr>
              <w:pStyle w:val="Kopfzeile"/>
              <w:spacing w:before="120" w:after="120"/>
              <w:jc w:val="center"/>
            </w:pPr>
            <w:r>
              <w:t>Freizeitwohnung</w:t>
            </w:r>
          </w:p>
        </w:tc>
        <w:tc>
          <w:tcPr>
            <w:tcW w:w="808" w:type="pct"/>
          </w:tcPr>
          <w:p w:rsidR="00F25447" w:rsidRPr="001276F0" w:rsidRDefault="00F25447" w:rsidP="00075767">
            <w:pPr>
              <w:pStyle w:val="Kopfzeile"/>
              <w:spacing w:before="120" w:after="120"/>
              <w:jc w:val="center"/>
              <w:rPr>
                <w:highlight w:val="yellow"/>
              </w:rPr>
            </w:pPr>
            <w:r>
              <w:rPr>
                <w:rFonts w:cs="Arial"/>
                <w:highlight w:val="yellow"/>
              </w:rPr>
              <w:t xml:space="preserve">... </w:t>
            </w:r>
            <w:r w:rsidRPr="004271BA">
              <w:rPr>
                <w:rFonts w:cs="Arial"/>
                <w:highlight w:val="yellow"/>
              </w:rPr>
              <w:t>m</w:t>
            </w:r>
            <w:r w:rsidRPr="004271BA">
              <w:rPr>
                <w:rFonts w:cs="Arial"/>
              </w:rPr>
              <w:t>²</w:t>
            </w:r>
          </w:p>
        </w:tc>
        <w:tc>
          <w:tcPr>
            <w:tcW w:w="808" w:type="pct"/>
            <w:vAlign w:val="center"/>
          </w:tcPr>
          <w:p w:rsidR="00F25447" w:rsidRPr="001276F0" w:rsidRDefault="00F25447" w:rsidP="00DF6422">
            <w:pPr>
              <w:pStyle w:val="Kopfzeile"/>
              <w:spacing w:before="120" w:after="120"/>
              <w:jc w:val="center"/>
              <w:rPr>
                <w:vertAlign w:val="superscript"/>
              </w:rPr>
            </w:pPr>
            <w:r w:rsidRPr="001276F0">
              <w:rPr>
                <w:highlight w:val="yellow"/>
              </w:rPr>
              <w:t>€ ….</w:t>
            </w:r>
            <w:r w:rsidR="00DF6422" w:rsidRPr="00DF6422">
              <w:rPr>
                <w:b/>
                <w:sz w:val="20"/>
                <w:szCs w:val="20"/>
                <w:vertAlign w:val="superscript"/>
              </w:rPr>
              <w:t>1)</w:t>
            </w:r>
          </w:p>
        </w:tc>
        <w:tc>
          <w:tcPr>
            <w:tcW w:w="808" w:type="pct"/>
          </w:tcPr>
          <w:p w:rsidR="00F25447" w:rsidRPr="00C2701D" w:rsidRDefault="00F25447" w:rsidP="00DF6422">
            <w:pPr>
              <w:pStyle w:val="Kopfzeile"/>
              <w:spacing w:before="120" w:after="120"/>
              <w:jc w:val="center"/>
              <w:rPr>
                <w:i/>
                <w:highlight w:val="yellow"/>
              </w:rPr>
            </w:pPr>
            <w:r>
              <w:rPr>
                <w:i/>
                <w:highlight w:val="yellow"/>
              </w:rPr>
              <w:t>36fache /</w:t>
            </w:r>
            <w:r>
              <w:rPr>
                <w:i/>
                <w:highlight w:val="yellow"/>
              </w:rPr>
              <w:br/>
              <w:t>54</w:t>
            </w:r>
            <w:r w:rsidRPr="00C2701D">
              <w:rPr>
                <w:i/>
                <w:highlight w:val="yellow"/>
              </w:rPr>
              <w:t>fache</w:t>
            </w:r>
            <w:r w:rsidR="00DF6422" w:rsidRPr="00DF6422">
              <w:rPr>
                <w:b/>
                <w:sz w:val="20"/>
                <w:szCs w:val="20"/>
                <w:highlight w:val="yellow"/>
                <w:vertAlign w:val="superscript"/>
              </w:rPr>
              <w:t>2)</w:t>
            </w:r>
          </w:p>
        </w:tc>
        <w:tc>
          <w:tcPr>
            <w:tcW w:w="806" w:type="pct"/>
            <w:vAlign w:val="center"/>
          </w:tcPr>
          <w:p w:rsidR="00F25447" w:rsidRPr="00CB15FA" w:rsidRDefault="00F25447" w:rsidP="00D20134">
            <w:pPr>
              <w:pStyle w:val="Kopfzeile"/>
              <w:spacing w:before="120" w:after="120"/>
              <w:jc w:val="center"/>
            </w:pPr>
            <w:r>
              <w:t>€</w:t>
            </w:r>
            <w:r w:rsidRPr="00C2701D">
              <w:rPr>
                <w:highlight w:val="yellow"/>
              </w:rPr>
              <w:t xml:space="preserve"> </w:t>
            </w:r>
            <w:r>
              <w:rPr>
                <w:highlight w:val="yellow"/>
              </w:rPr>
              <w:t>…</w:t>
            </w:r>
            <w:r>
              <w:t xml:space="preserve"> </w:t>
            </w:r>
          </w:p>
        </w:tc>
        <w:tc>
          <w:tcPr>
            <w:tcW w:w="806" w:type="pct"/>
          </w:tcPr>
          <w:p w:rsidR="00F25447" w:rsidRDefault="00F25447" w:rsidP="00D20134">
            <w:pPr>
              <w:pStyle w:val="Kopfzeile"/>
              <w:spacing w:before="120" w:after="120"/>
              <w:jc w:val="center"/>
            </w:pPr>
            <w:r>
              <w:t>€</w:t>
            </w:r>
            <w:r w:rsidRPr="00C2701D">
              <w:rPr>
                <w:highlight w:val="yellow"/>
              </w:rPr>
              <w:t xml:space="preserve"> </w:t>
            </w:r>
            <w:r>
              <w:rPr>
                <w:highlight w:val="yellow"/>
              </w:rPr>
              <w:t>…</w:t>
            </w:r>
          </w:p>
        </w:tc>
      </w:tr>
    </w:tbl>
    <w:p w:rsidR="00B64EBA" w:rsidRDefault="00B64EBA" w:rsidP="00B64EBA">
      <w:pPr>
        <w:pStyle w:val="Kopfzeile"/>
        <w:tabs>
          <w:tab w:val="left" w:pos="284"/>
        </w:tabs>
        <w:jc w:val="both"/>
        <w:rPr>
          <w:b/>
        </w:rPr>
      </w:pPr>
    </w:p>
    <w:p w:rsidR="00B64EBA" w:rsidRDefault="00B64EBA" w:rsidP="00B64EBA">
      <w:pPr>
        <w:pStyle w:val="Kopfzeile"/>
        <w:tabs>
          <w:tab w:val="left" w:pos="284"/>
        </w:tabs>
        <w:jc w:val="both"/>
        <w:rPr>
          <w:b/>
        </w:rPr>
      </w:pPr>
      <w:r>
        <w:rPr>
          <w:b/>
        </w:rPr>
        <w:t>Rechtsgrundlagen:</w:t>
      </w:r>
    </w:p>
    <w:p w:rsidR="00B64EBA" w:rsidRDefault="00B64EBA" w:rsidP="00B64EBA">
      <w:pPr>
        <w:pStyle w:val="Kopfzeile"/>
        <w:tabs>
          <w:tab w:val="left" w:pos="284"/>
        </w:tabs>
        <w:jc w:val="both"/>
      </w:pPr>
      <w:r>
        <w:t xml:space="preserve">§§ 201 Abs. 1 und 2 Z 3, 198 Abs. 2 und 210 Abs. 4 BAO </w:t>
      </w:r>
      <w:proofErr w:type="spellStart"/>
      <w:r>
        <w:t>iVm</w:t>
      </w:r>
      <w:proofErr w:type="spellEnd"/>
      <w:r>
        <w:t xml:space="preserve"> §§ 54 ff. Oö. Tourismusgesetz 2018, </w:t>
      </w:r>
      <w:proofErr w:type="spellStart"/>
      <w:r>
        <w:t>LGBl</w:t>
      </w:r>
      <w:proofErr w:type="spellEnd"/>
      <w:r>
        <w:t xml:space="preserve">. Nr. 3/2018, zuletzt geändert mit </w:t>
      </w:r>
      <w:proofErr w:type="spellStart"/>
      <w:r>
        <w:t>LGBl</w:t>
      </w:r>
      <w:proofErr w:type="spellEnd"/>
      <w:r>
        <w:t>. Nr. 56/2019</w:t>
      </w:r>
    </w:p>
    <w:p w:rsidR="00B64EBA" w:rsidRDefault="00B64EBA" w:rsidP="00B64EBA">
      <w:pPr>
        <w:jc w:val="both"/>
        <w:rPr>
          <w:rFonts w:cs="Arial"/>
        </w:rPr>
      </w:pPr>
    </w:p>
    <w:p w:rsidR="00DF6422" w:rsidRDefault="00DF6422" w:rsidP="00B64EBA">
      <w:pPr>
        <w:jc w:val="both"/>
        <w:rPr>
          <w:rFonts w:cs="Arial"/>
        </w:rPr>
      </w:pPr>
    </w:p>
    <w:p w:rsidR="00D20134" w:rsidRDefault="00D20134" w:rsidP="002F0559">
      <w:pPr>
        <w:pStyle w:val="Kopfzeile"/>
        <w:tabs>
          <w:tab w:val="left" w:pos="284"/>
        </w:tabs>
        <w:jc w:val="both"/>
      </w:pPr>
      <w:r>
        <w:t>____________________________</w:t>
      </w:r>
    </w:p>
    <w:p w:rsidR="00BE780E" w:rsidRDefault="00DF6422" w:rsidP="00FE0FCB">
      <w:pPr>
        <w:pStyle w:val="Kommentartext"/>
        <w:ind w:left="284" w:hanging="284"/>
      </w:pPr>
      <w:r w:rsidRPr="00DF6422">
        <w:rPr>
          <w:vertAlign w:val="superscript"/>
        </w:rPr>
        <w:t>1</w:t>
      </w:r>
      <w:r w:rsidR="00075767" w:rsidRPr="00DF6422">
        <w:rPr>
          <w:vertAlign w:val="superscript"/>
        </w:rPr>
        <w:t xml:space="preserve">) </w:t>
      </w:r>
      <w:r w:rsidR="00075767">
        <w:t>2 €, sofern die Landesregierung die Höhe der Ortstaxe nicht durch Verordnung gem. § 48 Oö. Tourismusgesetz 2018 neu festgesetzt hat.</w:t>
      </w:r>
    </w:p>
    <w:p w:rsidR="00DF6422" w:rsidRDefault="00DF6422" w:rsidP="00FE0FCB">
      <w:pPr>
        <w:pStyle w:val="Kommentartext"/>
        <w:ind w:left="284" w:hanging="284"/>
      </w:pPr>
      <w:r w:rsidRPr="00DF6422">
        <w:rPr>
          <w:vertAlign w:val="superscript"/>
        </w:rPr>
        <w:t xml:space="preserve">2) </w:t>
      </w:r>
      <w:r>
        <w:t>Nichtzutreffendes streichen</w:t>
      </w:r>
    </w:p>
    <w:p w:rsidR="00F25447" w:rsidRDefault="00DF6422" w:rsidP="00FE0FCB">
      <w:pPr>
        <w:pStyle w:val="Kommentartext"/>
        <w:ind w:left="284" w:hanging="284"/>
      </w:pPr>
      <w:r>
        <w:rPr>
          <w:b/>
          <w:vertAlign w:val="superscript"/>
        </w:rPr>
        <w:t>3</w:t>
      </w:r>
      <w:r w:rsidR="00F25447" w:rsidRPr="00FE0FCB">
        <w:rPr>
          <w:b/>
          <w:vertAlign w:val="superscript"/>
        </w:rPr>
        <w:t>)</w:t>
      </w:r>
      <w:r w:rsidR="00F25447">
        <w:rPr>
          <w:b/>
          <w:vertAlign w:val="superscript"/>
        </w:rPr>
        <w:t xml:space="preserve"> </w:t>
      </w:r>
      <w:r w:rsidR="00F25447">
        <w:t xml:space="preserve">gegebenenfalls entsprechende </w:t>
      </w:r>
      <w:r w:rsidR="00A6456A">
        <w:t xml:space="preserve">volle </w:t>
      </w:r>
      <w:r w:rsidR="00F25447">
        <w:t>Monate</w:t>
      </w:r>
      <w:r w:rsidR="00A6456A">
        <w:t xml:space="preserve"> mit HWS</w:t>
      </w:r>
      <w:r w:rsidR="00F25447">
        <w:t xml:space="preserve"> abziehen</w:t>
      </w:r>
      <w:r w:rsidR="00A6456A">
        <w:t xml:space="preserve"> (max. 5)</w:t>
      </w:r>
      <w:r w:rsidR="00F25447">
        <w:t>.</w:t>
      </w:r>
    </w:p>
    <w:p w:rsidR="00300368" w:rsidRDefault="00300368" w:rsidP="00BE780E">
      <w:pPr>
        <w:pStyle w:val="Kommentartext"/>
        <w:rPr>
          <w:rFonts w:cs="Arial"/>
        </w:rPr>
      </w:pPr>
      <w:r>
        <w:rPr>
          <w:rFonts w:cs="Arial"/>
        </w:rPr>
        <w:br w:type="page"/>
      </w:r>
    </w:p>
    <w:p w:rsidR="00DF6422" w:rsidRPr="00A4117C" w:rsidRDefault="00DF6422" w:rsidP="00DF6422">
      <w:pPr>
        <w:pStyle w:val="Kopfzeile"/>
        <w:numPr>
          <w:ilvl w:val="0"/>
          <w:numId w:val="7"/>
        </w:numPr>
        <w:ind w:left="567" w:hanging="567"/>
        <w:rPr>
          <w:i/>
        </w:rPr>
      </w:pPr>
      <w:r w:rsidRPr="00A4117C">
        <w:rPr>
          <w:i/>
        </w:rPr>
        <w:lastRenderedPageBreak/>
        <w:t>Der Zuschlag:</w:t>
      </w:r>
    </w:p>
    <w:p w:rsidR="00DF6422" w:rsidRPr="00A4117C" w:rsidRDefault="00DF6422" w:rsidP="00DF6422">
      <w:pPr>
        <w:pStyle w:val="Kopfzeile"/>
        <w:rPr>
          <w:i/>
        </w:rPr>
      </w:pPr>
    </w:p>
    <w:p w:rsidR="00DF6422" w:rsidRPr="00A4117C" w:rsidRDefault="00DF6422" w:rsidP="00DF6422">
      <w:pPr>
        <w:pStyle w:val="Kopfzeile"/>
        <w:tabs>
          <w:tab w:val="left" w:pos="284"/>
        </w:tabs>
        <w:jc w:val="both"/>
        <w:rPr>
          <w:i/>
        </w:rPr>
      </w:pPr>
      <w:r w:rsidRPr="00A4117C">
        <w:rPr>
          <w:i/>
        </w:rPr>
        <w:t>Der Zuschlag für die Freizeitwohnungspauschale/Dauercamper wird für Ihre Wohnung mit einer Nutzfläche bis zu 50 m² mit ……€/ über 50m² mit …… € festgesetzt.</w:t>
      </w:r>
    </w:p>
    <w:p w:rsidR="00DF6422" w:rsidRPr="00A4117C" w:rsidRDefault="00DF6422" w:rsidP="00DF6422">
      <w:pPr>
        <w:pStyle w:val="Kopfzeile"/>
        <w:tabs>
          <w:tab w:val="left" w:pos="284"/>
        </w:tabs>
        <w:jc w:val="both"/>
        <w:rPr>
          <w:i/>
        </w:rPr>
      </w:pPr>
    </w:p>
    <w:p w:rsidR="00DF6422" w:rsidRPr="00A4117C" w:rsidRDefault="00DF6422" w:rsidP="00DF6422">
      <w:pPr>
        <w:pStyle w:val="Kopfzeile"/>
        <w:tabs>
          <w:tab w:val="left" w:pos="284"/>
        </w:tabs>
        <w:jc w:val="both"/>
        <w:rPr>
          <w:b/>
          <w:i/>
        </w:rPr>
      </w:pPr>
      <w:r w:rsidRPr="00A4117C">
        <w:rPr>
          <w:b/>
          <w:i/>
        </w:rPr>
        <w:t>Rechtsgrundlagen:</w:t>
      </w:r>
    </w:p>
    <w:p w:rsidR="00DF6422" w:rsidRPr="00A4117C" w:rsidRDefault="00DF6422" w:rsidP="00DF6422">
      <w:pPr>
        <w:pStyle w:val="Kopfzeile"/>
        <w:tabs>
          <w:tab w:val="left" w:pos="284"/>
        </w:tabs>
        <w:jc w:val="both"/>
        <w:rPr>
          <w:i/>
        </w:rPr>
      </w:pPr>
      <w:r w:rsidRPr="00A4117C">
        <w:rPr>
          <w:i/>
        </w:rPr>
        <w:t xml:space="preserve">§ 57 Abs. 1 und 2 </w:t>
      </w:r>
      <w:proofErr w:type="spellStart"/>
      <w:r w:rsidRPr="00A4117C">
        <w:rPr>
          <w:i/>
        </w:rPr>
        <w:t>Oö</w:t>
      </w:r>
      <w:proofErr w:type="spellEnd"/>
      <w:r w:rsidRPr="00A4117C">
        <w:rPr>
          <w:i/>
        </w:rPr>
        <w:t xml:space="preserve">. Tourismusgesetz 2018, </w:t>
      </w:r>
      <w:proofErr w:type="spellStart"/>
      <w:r w:rsidRPr="00A4117C">
        <w:rPr>
          <w:i/>
        </w:rPr>
        <w:t>LGBl</w:t>
      </w:r>
      <w:proofErr w:type="spellEnd"/>
      <w:r w:rsidRPr="00A4117C">
        <w:rPr>
          <w:i/>
        </w:rPr>
        <w:t>. Nr. 3/2018, § 198 Abs. 2 BAO sowie §</w:t>
      </w:r>
      <w:r w:rsidR="00A4117C" w:rsidRPr="00A4117C">
        <w:rPr>
          <w:i/>
        </w:rPr>
        <w:t> </w:t>
      </w:r>
      <w:r w:rsidRPr="00A4117C">
        <w:rPr>
          <w:i/>
        </w:rPr>
        <w:t xml:space="preserve">2 Abs. 1 Z 2 </w:t>
      </w:r>
      <w:proofErr w:type="spellStart"/>
      <w:r w:rsidRPr="00A4117C">
        <w:rPr>
          <w:i/>
        </w:rPr>
        <w:t>lit</w:t>
      </w:r>
      <w:proofErr w:type="spellEnd"/>
      <w:r w:rsidRPr="00A4117C">
        <w:rPr>
          <w:i/>
        </w:rPr>
        <w:t xml:space="preserve"> b </w:t>
      </w:r>
      <w:proofErr w:type="spellStart"/>
      <w:r w:rsidR="00E6273A">
        <w:rPr>
          <w:i/>
        </w:rPr>
        <w:t>Oö</w:t>
      </w:r>
      <w:proofErr w:type="spellEnd"/>
      <w:r w:rsidR="00E6273A">
        <w:rPr>
          <w:i/>
        </w:rPr>
        <w:t xml:space="preserve">. </w:t>
      </w:r>
      <w:r w:rsidRPr="00A4117C">
        <w:rPr>
          <w:i/>
        </w:rPr>
        <w:t xml:space="preserve">Abgabengesetz, </w:t>
      </w:r>
      <w:proofErr w:type="spellStart"/>
      <w:r w:rsidRPr="00A4117C">
        <w:rPr>
          <w:i/>
        </w:rPr>
        <w:t>LGBl</w:t>
      </w:r>
      <w:proofErr w:type="spellEnd"/>
      <w:r w:rsidRPr="00A4117C">
        <w:rPr>
          <w:i/>
        </w:rPr>
        <w:t xml:space="preserve"> Nr. 102/2009</w:t>
      </w:r>
      <w:r w:rsidR="00895CBD">
        <w:rPr>
          <w:i/>
        </w:rPr>
        <w:t>, Verordnung des Gemeinderates vom……</w:t>
      </w:r>
    </w:p>
    <w:p w:rsidR="00BE780E" w:rsidRPr="00A4117C" w:rsidRDefault="00BE780E" w:rsidP="00BE780E">
      <w:pPr>
        <w:pStyle w:val="Kopfzeile"/>
        <w:tabs>
          <w:tab w:val="left" w:pos="284"/>
        </w:tabs>
        <w:rPr>
          <w:i/>
        </w:rPr>
      </w:pPr>
    </w:p>
    <w:p w:rsidR="00BE780E" w:rsidRDefault="00BE780E" w:rsidP="00BE780E">
      <w:pPr>
        <w:pStyle w:val="Kopfzeile"/>
        <w:tabs>
          <w:tab w:val="left" w:pos="284"/>
        </w:tabs>
      </w:pPr>
      <w:r>
        <w:t xml:space="preserve">Es wird darauf hingewiesen, dass die festgesetzte </w:t>
      </w:r>
      <w:r w:rsidR="00151B55">
        <w:t xml:space="preserve">Freizeitwohnungspauschale </w:t>
      </w:r>
      <w:r w:rsidR="00151B55">
        <w:sym w:font="Symbol" w:char="F05B"/>
      </w:r>
      <w:r w:rsidR="00151B55" w:rsidRPr="001A68AF">
        <w:rPr>
          <w:i/>
          <w:highlight w:val="lightGray"/>
        </w:rPr>
        <w:t>sowie</w:t>
      </w:r>
      <w:r w:rsidRPr="001A68AF">
        <w:rPr>
          <w:i/>
          <w:highlight w:val="lightGray"/>
        </w:rPr>
        <w:t xml:space="preserve"> ……</w:t>
      </w:r>
      <w:r>
        <w:t xml:space="preserve"> </w:t>
      </w:r>
      <w:r w:rsidR="00151B55">
        <w:t>]</w:t>
      </w:r>
      <w:r w:rsidR="00A4117C" w:rsidRPr="00A4117C">
        <w:rPr>
          <w:b/>
          <w:sz w:val="20"/>
          <w:szCs w:val="20"/>
          <w:vertAlign w:val="superscript"/>
        </w:rPr>
        <w:t>2</w:t>
      </w:r>
      <w:r w:rsidR="00CB47F6" w:rsidRPr="00A4117C">
        <w:rPr>
          <w:b/>
          <w:sz w:val="20"/>
          <w:szCs w:val="20"/>
          <w:vertAlign w:val="superscript"/>
        </w:rPr>
        <w:t>)</w:t>
      </w:r>
      <w:r w:rsidR="00151B55">
        <w:t xml:space="preserve"> </w:t>
      </w:r>
      <w:r>
        <w:t>bereits fällig war</w:t>
      </w:r>
      <w:r w:rsidR="00151B55">
        <w:t>(</w:t>
      </w:r>
      <w:r w:rsidR="00151B55" w:rsidRPr="001A68AF">
        <w:rPr>
          <w:highlight w:val="lightGray"/>
        </w:rPr>
        <w:t>en</w:t>
      </w:r>
      <w:r w:rsidR="00151B55">
        <w:t>)</w:t>
      </w:r>
      <w:r w:rsidR="00A4117C" w:rsidRPr="00A4117C">
        <w:rPr>
          <w:b/>
          <w:sz w:val="20"/>
          <w:szCs w:val="20"/>
          <w:vertAlign w:val="superscript"/>
        </w:rPr>
        <w:t>2</w:t>
      </w:r>
      <w:r w:rsidR="00CB47F6" w:rsidRPr="00A4117C">
        <w:rPr>
          <w:b/>
          <w:sz w:val="20"/>
          <w:szCs w:val="20"/>
          <w:vertAlign w:val="superscript"/>
        </w:rPr>
        <w:t>)</w:t>
      </w:r>
      <w:r>
        <w:t>.</w:t>
      </w:r>
    </w:p>
    <w:p w:rsidR="00D822E8" w:rsidRDefault="00D822E8" w:rsidP="002F0559">
      <w:pPr>
        <w:jc w:val="both"/>
        <w:rPr>
          <w:rFonts w:cs="Arial"/>
        </w:rPr>
      </w:pPr>
    </w:p>
    <w:p w:rsidR="00D20134" w:rsidRDefault="00D20134" w:rsidP="00D20134">
      <w:pPr>
        <w:pStyle w:val="Kopfzeile"/>
        <w:tabs>
          <w:tab w:val="left" w:pos="284"/>
        </w:tabs>
        <w:jc w:val="both"/>
      </w:pPr>
      <w:r>
        <w:t xml:space="preserve">Für die Entrichtung der Freizeitwohnungspauschale </w:t>
      </w:r>
      <w:r w:rsidR="001A68AF">
        <w:sym w:font="Symbol" w:char="F05B"/>
      </w:r>
      <w:r w:rsidR="001A68AF" w:rsidRPr="001A68AF">
        <w:rPr>
          <w:i/>
          <w:highlight w:val="lightGray"/>
        </w:rPr>
        <w:t>und des Zuschlags</w:t>
      </w:r>
      <w:r w:rsidR="001A68AF">
        <w:t>]</w:t>
      </w:r>
      <w:r w:rsidR="00A4117C" w:rsidRPr="00A4117C">
        <w:rPr>
          <w:b/>
          <w:sz w:val="20"/>
          <w:szCs w:val="20"/>
          <w:vertAlign w:val="superscript"/>
        </w:rPr>
        <w:t>2</w:t>
      </w:r>
      <w:r w:rsidR="001C2496" w:rsidRPr="00A4117C">
        <w:rPr>
          <w:b/>
          <w:sz w:val="20"/>
          <w:szCs w:val="20"/>
          <w:vertAlign w:val="superscript"/>
        </w:rPr>
        <w:t>)</w:t>
      </w:r>
      <w:r w:rsidR="001A68AF">
        <w:t xml:space="preserve"> </w:t>
      </w:r>
      <w:r w:rsidR="001C2496">
        <w:t>steht Ihnen eine F</w:t>
      </w:r>
      <w:r>
        <w:t>rist von einem Monat ab Zustellung dieses Bescheides zu. Die Abgabe</w:t>
      </w:r>
      <w:r w:rsidR="001A68AF" w:rsidRPr="001A68AF">
        <w:rPr>
          <w:i/>
          <w:highlight w:val="lightGray"/>
        </w:rPr>
        <w:t>(n)</w:t>
      </w:r>
      <w:r w:rsidR="00A4117C" w:rsidRPr="00A4117C">
        <w:rPr>
          <w:b/>
          <w:i/>
          <w:sz w:val="20"/>
          <w:szCs w:val="20"/>
          <w:highlight w:val="lightGray"/>
          <w:vertAlign w:val="superscript"/>
        </w:rPr>
        <w:t>2</w:t>
      </w:r>
      <w:r w:rsidR="001C2496" w:rsidRPr="00A4117C">
        <w:rPr>
          <w:b/>
          <w:i/>
          <w:sz w:val="20"/>
          <w:szCs w:val="20"/>
          <w:highlight w:val="lightGray"/>
          <w:vertAlign w:val="superscript"/>
        </w:rPr>
        <w:t>)</w:t>
      </w:r>
      <w:r w:rsidRPr="001A68AF">
        <w:rPr>
          <w:i/>
          <w:highlight w:val="lightGray"/>
        </w:rPr>
        <w:t xml:space="preserve"> ist</w:t>
      </w:r>
      <w:r w:rsidR="001A68AF" w:rsidRPr="001A68AF">
        <w:rPr>
          <w:i/>
          <w:highlight w:val="lightGray"/>
        </w:rPr>
        <w:t xml:space="preserve"> (sind</w:t>
      </w:r>
      <w:r w:rsidR="001A68AF" w:rsidRPr="001A68AF">
        <w:rPr>
          <w:highlight w:val="lightGray"/>
        </w:rPr>
        <w:t>)</w:t>
      </w:r>
      <w:r w:rsidR="00A4117C" w:rsidRPr="00A4117C">
        <w:rPr>
          <w:b/>
          <w:sz w:val="20"/>
          <w:szCs w:val="20"/>
          <w:vertAlign w:val="superscript"/>
        </w:rPr>
        <w:t>2</w:t>
      </w:r>
      <w:r w:rsidR="001C2496" w:rsidRPr="00A4117C">
        <w:rPr>
          <w:b/>
          <w:sz w:val="20"/>
          <w:szCs w:val="20"/>
          <w:vertAlign w:val="superscript"/>
        </w:rPr>
        <w:t>)</w:t>
      </w:r>
      <w:r>
        <w:t xml:space="preserve"> mit dem beiliegenden Zahlschein auf das angegebene Konto der Gemeinde einzuzahlen.</w:t>
      </w:r>
      <w:r w:rsidR="00195F55">
        <w:t xml:space="preserve"> </w:t>
      </w:r>
      <w:r w:rsidR="00195F55" w:rsidRPr="00195F55">
        <w:t>Sollte diese Frist nicht eingehalten werden</w:t>
      </w:r>
      <w:r w:rsidR="00A4117C">
        <w:t xml:space="preserve">, </w:t>
      </w:r>
      <w:r w:rsidR="00195F55" w:rsidRPr="00195F55">
        <w:t>müssen wir eine zwangsweise Einbringung der Abgabe nach den Vorschr</w:t>
      </w:r>
      <w:r w:rsidR="00A4117C">
        <w:t>iften der Bundesabgabenordnung (</w:t>
      </w:r>
      <w:r w:rsidR="00195F55" w:rsidRPr="00195F55">
        <w:t>BAO</w:t>
      </w:r>
      <w:r w:rsidR="00A4117C">
        <w:t>)</w:t>
      </w:r>
      <w:r w:rsidR="00195F55" w:rsidRPr="00195F55">
        <w:t xml:space="preserve"> in die Wege leiten.</w:t>
      </w:r>
    </w:p>
    <w:p w:rsidR="00D20134" w:rsidRDefault="00D20134" w:rsidP="002F0559">
      <w:pPr>
        <w:jc w:val="both"/>
        <w:rPr>
          <w:rFonts w:cs="Arial"/>
        </w:rPr>
      </w:pPr>
    </w:p>
    <w:p w:rsidR="00D822E8" w:rsidRPr="004F40BD" w:rsidRDefault="00D822E8" w:rsidP="002F0559">
      <w:pPr>
        <w:jc w:val="both"/>
        <w:rPr>
          <w:rFonts w:cs="Arial"/>
        </w:rPr>
      </w:pPr>
    </w:p>
    <w:p w:rsidR="00D822E8" w:rsidRPr="004F40BD" w:rsidRDefault="00D822E8" w:rsidP="00252C86">
      <w:pPr>
        <w:spacing w:line="360" w:lineRule="auto"/>
        <w:jc w:val="center"/>
        <w:rPr>
          <w:rFonts w:cs="Arial"/>
          <w:b/>
        </w:rPr>
      </w:pPr>
      <w:r w:rsidRPr="004F40BD">
        <w:rPr>
          <w:rFonts w:cs="Arial"/>
          <w:b/>
        </w:rPr>
        <w:t>B E G R Ü N D U N G</w:t>
      </w:r>
      <w:r>
        <w:rPr>
          <w:rFonts w:cs="Arial"/>
          <w:b/>
        </w:rPr>
        <w:t>:</w:t>
      </w:r>
    </w:p>
    <w:p w:rsidR="00D822E8" w:rsidRDefault="00CE0F2A" w:rsidP="00D57BC3">
      <w:pPr>
        <w:tabs>
          <w:tab w:val="left" w:pos="540"/>
        </w:tabs>
        <w:rPr>
          <w:rFonts w:cs="Arial"/>
        </w:rPr>
      </w:pPr>
      <w:r>
        <w:rPr>
          <w:rFonts w:cs="Arial"/>
        </w:rPr>
        <w:t xml:space="preserve">Ad </w:t>
      </w:r>
      <w:r w:rsidR="00F25447">
        <w:rPr>
          <w:rFonts w:cs="Arial"/>
        </w:rPr>
        <w:t>I</w:t>
      </w:r>
      <w:r>
        <w:rPr>
          <w:rFonts w:cs="Arial"/>
        </w:rPr>
        <w:t xml:space="preserve">.: </w:t>
      </w:r>
      <w:r w:rsidR="002811F1">
        <w:rPr>
          <w:rFonts w:cs="Arial"/>
        </w:rPr>
        <w:t xml:space="preserve">Der Bürgermeister bzw. die Bürgermeisterin hat im übertragenen Wirkungsbereich des Landes die Freizeitwohnungspauschale </w:t>
      </w:r>
      <w:r w:rsidR="00744270">
        <w:rPr>
          <w:rFonts w:cs="Arial"/>
        </w:rPr>
        <w:t xml:space="preserve">für Freizeitwohnungen </w:t>
      </w:r>
      <w:r w:rsidR="0053405D">
        <w:rPr>
          <w:rFonts w:cs="Arial"/>
        </w:rPr>
        <w:t>einzuheben</w:t>
      </w:r>
      <w:r w:rsidR="002811F1">
        <w:rPr>
          <w:rFonts w:cs="Arial"/>
        </w:rPr>
        <w:t>.</w:t>
      </w:r>
    </w:p>
    <w:p w:rsidR="00D20134" w:rsidRDefault="00D20134" w:rsidP="00D57BC3">
      <w:pPr>
        <w:tabs>
          <w:tab w:val="left" w:pos="540"/>
        </w:tabs>
        <w:rPr>
          <w:rFonts w:cs="Arial"/>
        </w:rPr>
      </w:pPr>
    </w:p>
    <w:p w:rsidR="00D20134" w:rsidRDefault="00D20134" w:rsidP="00D57BC3">
      <w:pPr>
        <w:tabs>
          <w:tab w:val="left" w:pos="540"/>
        </w:tabs>
        <w:rPr>
          <w:rFonts w:cs="Arial"/>
        </w:rPr>
      </w:pPr>
      <w:r w:rsidRPr="00D20134">
        <w:rPr>
          <w:rFonts w:cs="Arial"/>
          <w:color w:val="000000"/>
          <w:lang w:val="de-DE"/>
        </w:rPr>
        <w:t>Freizeitwohnungen sind Wohnungen im Sinn des § 2 Z 4 des Bundesgesetzes über das Gebäude- und Wohnungsregister (GWR-Gesetz), die</w:t>
      </w:r>
    </w:p>
    <w:p w:rsidR="00744270" w:rsidRDefault="00744270" w:rsidP="00D57BC3">
      <w:pPr>
        <w:tabs>
          <w:tab w:val="left" w:pos="540"/>
        </w:tabs>
        <w:rPr>
          <w:rFonts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
        <w:gridCol w:w="421"/>
        <w:gridCol w:w="9422"/>
      </w:tblGrid>
      <w:tr w:rsidR="00744270" w:rsidRPr="00744270" w:rsidTr="00FE0FCB">
        <w:trPr>
          <w:tblCellSpacing w:w="15" w:type="dxa"/>
        </w:trPr>
        <w:tc>
          <w:tcPr>
            <w:tcW w:w="0" w:type="auto"/>
            <w:vAlign w:val="center"/>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1.</w:t>
            </w:r>
          </w:p>
        </w:tc>
        <w:tc>
          <w:tcPr>
            <w:tcW w:w="4843" w:type="pct"/>
            <w:gridSpan w:val="2"/>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in das Gebäude- und Wohnungsregister eingetragen sind und</w:t>
            </w:r>
          </w:p>
        </w:tc>
      </w:tr>
      <w:tr w:rsidR="00744270" w:rsidRPr="00744270" w:rsidTr="00FE0FCB">
        <w:trPr>
          <w:tblCellSpacing w:w="15" w:type="dxa"/>
        </w:trPr>
        <w:tc>
          <w:tcPr>
            <w:tcW w:w="0" w:type="auto"/>
            <w:vAlign w:val="center"/>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2.</w:t>
            </w:r>
          </w:p>
        </w:tc>
        <w:tc>
          <w:tcPr>
            <w:tcW w:w="4843" w:type="pct"/>
            <w:gridSpan w:val="2"/>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länger als 26 Wochen keinen Hauptwohnsitz darstellen und</w:t>
            </w:r>
          </w:p>
        </w:tc>
      </w:tr>
      <w:tr w:rsidR="00744270" w:rsidRPr="00744270" w:rsidTr="00FE0FCB">
        <w:trPr>
          <w:tblCellSpacing w:w="15" w:type="dxa"/>
        </w:trPr>
        <w:tc>
          <w:tcPr>
            <w:tcW w:w="0" w:type="auto"/>
            <w:vAlign w:val="center"/>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3.</w:t>
            </w:r>
          </w:p>
        </w:tc>
        <w:tc>
          <w:tcPr>
            <w:tcW w:w="4843" w:type="pct"/>
            <w:gridSpan w:val="2"/>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nicht überwiegend zu folgenden Zwecken benötigt werden:</w:t>
            </w:r>
          </w:p>
        </w:tc>
      </w:tr>
      <w:tr w:rsidR="00744270" w:rsidRPr="00744270" w:rsidTr="00FE0FCB">
        <w:trPr>
          <w:gridBefore w:val="1"/>
          <w:tblCellSpacing w:w="15" w:type="dxa"/>
        </w:trPr>
        <w:tc>
          <w:tcPr>
            <w:tcW w:w="194" w:type="pct"/>
            <w:vAlign w:val="center"/>
            <w:hideMark/>
          </w:tcPr>
          <w:p w:rsidR="00744270" w:rsidRPr="00744270" w:rsidRDefault="00744270" w:rsidP="00FE0FCB">
            <w:pPr>
              <w:snapToGrid w:val="0"/>
              <w:spacing w:before="40" w:line="220" w:lineRule="atLeast"/>
              <w:jc w:val="center"/>
              <w:rPr>
                <w:rFonts w:cs="Arial"/>
                <w:color w:val="000000"/>
                <w:lang w:val="de-DE"/>
              </w:rPr>
            </w:pPr>
            <w:r w:rsidRPr="00744270">
              <w:rPr>
                <w:rFonts w:cs="Arial"/>
                <w:color w:val="000000"/>
                <w:lang w:val="de-DE"/>
              </w:rPr>
              <w:t>a)</w:t>
            </w:r>
          </w:p>
        </w:tc>
        <w:tc>
          <w:tcPr>
            <w:tcW w:w="4635" w:type="pct"/>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als Gästeunterkunft im Sinn des § 47 Abs. 2;</w:t>
            </w:r>
          </w:p>
        </w:tc>
      </w:tr>
      <w:tr w:rsidR="00744270" w:rsidRPr="00744270" w:rsidTr="00FE0FCB">
        <w:trPr>
          <w:gridBefore w:val="1"/>
          <w:tblCellSpacing w:w="15" w:type="dxa"/>
        </w:trPr>
        <w:tc>
          <w:tcPr>
            <w:tcW w:w="194" w:type="pct"/>
            <w:hideMark/>
          </w:tcPr>
          <w:p w:rsidR="00744270" w:rsidRPr="00744270" w:rsidRDefault="00744270" w:rsidP="00FE0FCB">
            <w:pPr>
              <w:snapToGrid w:val="0"/>
              <w:spacing w:before="40" w:line="220" w:lineRule="atLeast"/>
              <w:jc w:val="center"/>
              <w:rPr>
                <w:rFonts w:cs="Arial"/>
                <w:color w:val="000000"/>
                <w:lang w:val="de-DE"/>
              </w:rPr>
            </w:pPr>
            <w:r w:rsidRPr="00744270">
              <w:rPr>
                <w:rFonts w:cs="Arial"/>
                <w:color w:val="000000"/>
                <w:lang w:val="de-DE"/>
              </w:rPr>
              <w:t>b)</w:t>
            </w:r>
          </w:p>
        </w:tc>
        <w:tc>
          <w:tcPr>
            <w:tcW w:w="4635" w:type="pct"/>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zur Erfüllung der Schulpflicht oder zur Absolvierung des Besuchs einer allgemein bildenden höheren oder berufsbildenden Schule oder einer Hochschule oder zur Absolvierung einer Lehre;</w:t>
            </w:r>
          </w:p>
        </w:tc>
      </w:tr>
      <w:tr w:rsidR="00744270" w:rsidRPr="00744270" w:rsidTr="00FE0FCB">
        <w:trPr>
          <w:gridBefore w:val="1"/>
          <w:tblCellSpacing w:w="15" w:type="dxa"/>
        </w:trPr>
        <w:tc>
          <w:tcPr>
            <w:tcW w:w="194" w:type="pct"/>
            <w:vAlign w:val="center"/>
            <w:hideMark/>
          </w:tcPr>
          <w:p w:rsidR="00744270" w:rsidRPr="00744270" w:rsidRDefault="00744270" w:rsidP="00FE0FCB">
            <w:pPr>
              <w:snapToGrid w:val="0"/>
              <w:spacing w:before="40" w:line="220" w:lineRule="atLeast"/>
              <w:jc w:val="center"/>
              <w:rPr>
                <w:rFonts w:cs="Arial"/>
                <w:color w:val="000000"/>
                <w:lang w:val="de-DE"/>
              </w:rPr>
            </w:pPr>
            <w:r w:rsidRPr="00744270">
              <w:rPr>
                <w:rFonts w:cs="Arial"/>
                <w:color w:val="000000"/>
                <w:lang w:val="de-DE"/>
              </w:rPr>
              <w:t>c)</w:t>
            </w:r>
          </w:p>
        </w:tc>
        <w:tc>
          <w:tcPr>
            <w:tcW w:w="4635" w:type="pct"/>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zur Ableistung des Wehr- oder Zivildienstes;</w:t>
            </w:r>
          </w:p>
        </w:tc>
      </w:tr>
      <w:tr w:rsidR="00744270" w:rsidRPr="00744270" w:rsidTr="00FE0FCB">
        <w:trPr>
          <w:gridBefore w:val="1"/>
          <w:tblCellSpacing w:w="15" w:type="dxa"/>
        </w:trPr>
        <w:tc>
          <w:tcPr>
            <w:tcW w:w="194" w:type="pct"/>
            <w:vAlign w:val="center"/>
            <w:hideMark/>
          </w:tcPr>
          <w:p w:rsidR="00744270" w:rsidRPr="00744270" w:rsidRDefault="00744270" w:rsidP="00FE0FCB">
            <w:pPr>
              <w:snapToGrid w:val="0"/>
              <w:spacing w:before="40" w:line="220" w:lineRule="atLeast"/>
              <w:jc w:val="center"/>
              <w:rPr>
                <w:rFonts w:cs="Arial"/>
                <w:color w:val="000000"/>
                <w:lang w:val="de-DE"/>
              </w:rPr>
            </w:pPr>
            <w:r w:rsidRPr="00744270">
              <w:rPr>
                <w:rFonts w:cs="Arial"/>
                <w:color w:val="000000"/>
                <w:lang w:val="de-DE"/>
              </w:rPr>
              <w:t>d)</w:t>
            </w:r>
          </w:p>
        </w:tc>
        <w:tc>
          <w:tcPr>
            <w:tcW w:w="4635" w:type="pct"/>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zur Berufsausübung, insbesondere als Pendlerin bzw. Pendler;</w:t>
            </w:r>
          </w:p>
        </w:tc>
      </w:tr>
      <w:tr w:rsidR="00744270" w:rsidRPr="00744270" w:rsidTr="00FE0FCB">
        <w:trPr>
          <w:gridBefore w:val="1"/>
          <w:tblCellSpacing w:w="15" w:type="dxa"/>
        </w:trPr>
        <w:tc>
          <w:tcPr>
            <w:tcW w:w="194" w:type="pct"/>
            <w:vAlign w:val="center"/>
            <w:hideMark/>
          </w:tcPr>
          <w:p w:rsidR="00744270" w:rsidRPr="00744270" w:rsidRDefault="00744270" w:rsidP="00FE0FCB">
            <w:pPr>
              <w:snapToGrid w:val="0"/>
              <w:spacing w:before="40" w:line="220" w:lineRule="atLeast"/>
              <w:jc w:val="center"/>
              <w:rPr>
                <w:rFonts w:cs="Arial"/>
                <w:color w:val="000000"/>
                <w:lang w:val="de-DE"/>
              </w:rPr>
            </w:pPr>
            <w:r w:rsidRPr="00744270">
              <w:rPr>
                <w:rFonts w:cs="Arial"/>
                <w:color w:val="000000"/>
                <w:lang w:val="de-DE"/>
              </w:rPr>
              <w:t>e)</w:t>
            </w:r>
          </w:p>
        </w:tc>
        <w:tc>
          <w:tcPr>
            <w:tcW w:w="4635" w:type="pct"/>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zur Unterbringung von Dienstnehmerinnen bzw. Dienstnehmern.</w:t>
            </w:r>
          </w:p>
        </w:tc>
      </w:tr>
    </w:tbl>
    <w:p w:rsidR="00252C86" w:rsidRPr="000329B5" w:rsidRDefault="00252C86" w:rsidP="000329B5">
      <w:pPr>
        <w:snapToGrid w:val="0"/>
        <w:spacing w:before="80" w:line="288" w:lineRule="auto"/>
        <w:ind w:firstLine="397"/>
        <w:rPr>
          <w:rFonts w:cs="Arial"/>
          <w:color w:val="000000"/>
          <w:lang w:val="de-DE"/>
        </w:rPr>
      </w:pPr>
    </w:p>
    <w:p w:rsidR="000329B5" w:rsidRPr="000329B5" w:rsidRDefault="00744270" w:rsidP="000329B5">
      <w:pPr>
        <w:snapToGrid w:val="0"/>
        <w:spacing w:before="80" w:line="288" w:lineRule="auto"/>
        <w:rPr>
          <w:rFonts w:cs="Arial"/>
          <w:color w:val="000000"/>
          <w:lang w:val="de-DE"/>
        </w:rPr>
      </w:pPr>
      <w:r w:rsidRPr="000329B5">
        <w:rPr>
          <w:rFonts w:cs="Arial"/>
          <w:color w:val="000000"/>
          <w:lang w:val="de-DE"/>
        </w:rPr>
        <w:t>Nicht als Freizeitwohnung gilt eine Wohnung, wenn seit mindestens fünf Jahren auf demselben Grundstück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
        <w:gridCol w:w="9908"/>
      </w:tblGrid>
      <w:tr w:rsidR="00744270" w:rsidRPr="00744270" w:rsidTr="00744270">
        <w:trPr>
          <w:tblCellSpacing w:w="15" w:type="dxa"/>
        </w:trPr>
        <w:tc>
          <w:tcPr>
            <w:tcW w:w="0" w:type="auto"/>
            <w:vAlign w:val="center"/>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1.</w:t>
            </w:r>
          </w:p>
        </w:tc>
        <w:tc>
          <w:tcPr>
            <w:tcW w:w="0" w:type="auto"/>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zumindest eine Person durchgehend mit Hauptwohnsitz wohnt,</w:t>
            </w:r>
          </w:p>
        </w:tc>
      </w:tr>
      <w:tr w:rsidR="00744270" w:rsidRPr="00744270" w:rsidTr="00744270">
        <w:trPr>
          <w:tblCellSpacing w:w="15" w:type="dxa"/>
        </w:trPr>
        <w:tc>
          <w:tcPr>
            <w:tcW w:w="0" w:type="auto"/>
            <w:vAlign w:val="center"/>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2.</w:t>
            </w:r>
          </w:p>
        </w:tc>
        <w:tc>
          <w:tcPr>
            <w:tcW w:w="0" w:type="auto"/>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keine Wohnung als Gästeunterkunft verwendet wird und</w:t>
            </w:r>
          </w:p>
        </w:tc>
      </w:tr>
      <w:tr w:rsidR="00744270" w:rsidRPr="00744270" w:rsidTr="00FE0FCB">
        <w:trPr>
          <w:tblCellSpacing w:w="15" w:type="dxa"/>
        </w:trPr>
        <w:tc>
          <w:tcPr>
            <w:tcW w:w="0" w:type="auto"/>
            <w:hideMark/>
          </w:tcPr>
          <w:p w:rsidR="00744270" w:rsidRPr="00744270" w:rsidRDefault="00744270" w:rsidP="00744270">
            <w:pPr>
              <w:snapToGrid w:val="0"/>
              <w:spacing w:before="40" w:line="220" w:lineRule="atLeast"/>
              <w:jc w:val="right"/>
              <w:rPr>
                <w:rFonts w:cs="Arial"/>
                <w:color w:val="000000"/>
                <w:lang w:val="de-DE"/>
              </w:rPr>
            </w:pPr>
            <w:r w:rsidRPr="00744270">
              <w:rPr>
                <w:rFonts w:cs="Arial"/>
                <w:color w:val="000000"/>
                <w:lang w:val="de-DE"/>
              </w:rPr>
              <w:t>3.</w:t>
            </w:r>
          </w:p>
        </w:tc>
        <w:tc>
          <w:tcPr>
            <w:tcW w:w="0" w:type="auto"/>
            <w:vAlign w:val="center"/>
            <w:hideMark/>
          </w:tcPr>
          <w:p w:rsidR="00744270" w:rsidRPr="00744270" w:rsidRDefault="00744270" w:rsidP="00744270">
            <w:pPr>
              <w:snapToGrid w:val="0"/>
              <w:spacing w:before="40" w:line="220" w:lineRule="atLeast"/>
              <w:jc w:val="both"/>
              <w:rPr>
                <w:rFonts w:cs="Arial"/>
                <w:color w:val="000000"/>
                <w:lang w:val="de-DE"/>
              </w:rPr>
            </w:pPr>
            <w:r w:rsidRPr="00744270">
              <w:rPr>
                <w:rFonts w:cs="Arial"/>
                <w:color w:val="000000"/>
                <w:lang w:val="de-DE"/>
              </w:rPr>
              <w:t>nicht Personen wohnen, die keine nahen Angehörigen im Sinn des § 2 Abs. 7 Oö. Grundverkehrsgesetz 1994 sind.</w:t>
            </w:r>
          </w:p>
        </w:tc>
      </w:tr>
      <w:tr w:rsidR="00744270" w:rsidRPr="00744270" w:rsidTr="00744270">
        <w:trPr>
          <w:tblCellSpacing w:w="15" w:type="dxa"/>
        </w:trPr>
        <w:tc>
          <w:tcPr>
            <w:tcW w:w="0" w:type="auto"/>
            <w:gridSpan w:val="2"/>
            <w:vAlign w:val="center"/>
            <w:hideMark/>
          </w:tcPr>
          <w:p w:rsidR="00744270" w:rsidRPr="00744270" w:rsidRDefault="00744270" w:rsidP="00744270">
            <w:pPr>
              <w:snapToGrid w:val="0"/>
              <w:spacing w:line="220" w:lineRule="atLeast"/>
              <w:jc w:val="both"/>
              <w:rPr>
                <w:rFonts w:cs="Arial"/>
                <w:color w:val="000000"/>
                <w:lang w:val="de-DE"/>
              </w:rPr>
            </w:pPr>
            <w:r w:rsidRPr="00744270">
              <w:rPr>
                <w:rFonts w:cs="Arial"/>
                <w:color w:val="000000"/>
                <w:lang w:val="de-DE"/>
              </w:rPr>
              <w:t xml:space="preserve">Ein Hauptwohnsitz ist nicht erforderlich, solange dieser aus gesundheitlichen oder altersbedingten Gründen aufgegeben werden muss. </w:t>
            </w:r>
          </w:p>
        </w:tc>
      </w:tr>
    </w:tbl>
    <w:p w:rsidR="00744270" w:rsidRDefault="00744270" w:rsidP="002F0559">
      <w:pPr>
        <w:jc w:val="both"/>
        <w:rPr>
          <w:rFonts w:cs="Arial"/>
        </w:rPr>
      </w:pPr>
    </w:p>
    <w:p w:rsidR="00A4117C" w:rsidRDefault="00A4117C" w:rsidP="00A4117C">
      <w:pPr>
        <w:jc w:val="both"/>
        <w:rPr>
          <w:sz w:val="20"/>
          <w:szCs w:val="20"/>
        </w:rPr>
      </w:pPr>
      <w:r>
        <w:rPr>
          <w:sz w:val="20"/>
          <w:szCs w:val="20"/>
        </w:rPr>
        <w:br w:type="page"/>
      </w:r>
    </w:p>
    <w:p w:rsidR="004F5ADF" w:rsidRDefault="004F5ADF" w:rsidP="002F0559">
      <w:pPr>
        <w:jc w:val="both"/>
      </w:pPr>
    </w:p>
    <w:p w:rsidR="006122E3" w:rsidRDefault="00744270" w:rsidP="002F0559">
      <w:pPr>
        <w:jc w:val="both"/>
      </w:pPr>
      <w:r>
        <w:t>Die Höhe der Freizeit</w:t>
      </w:r>
      <w:r w:rsidR="009F2065">
        <w:t>wohnungspauschale</w:t>
      </w:r>
      <w:r>
        <w:t xml:space="preserve"> ist gem. § 55 Abs. 1 Oö. Tourismusgesetz 2018</w:t>
      </w:r>
      <w:r w:rsidR="00F120E6">
        <w:t xml:space="preserve"> </w:t>
      </w:r>
      <w:r w:rsidR="004F5ADF">
        <w:t xml:space="preserve">abhängig von der </w:t>
      </w:r>
      <w:r>
        <w:t>Nutzfläche der Wohnung. Für Wohnungen bis zu</w:t>
      </w:r>
      <w:r w:rsidR="004F5ADF">
        <w:t xml:space="preserve"> 50m</w:t>
      </w:r>
      <w:r w:rsidR="004F5ADF" w:rsidRPr="001A62EE">
        <w:rPr>
          <w:vertAlign w:val="superscript"/>
        </w:rPr>
        <w:t>2</w:t>
      </w:r>
      <w:r w:rsidR="004F5ADF">
        <w:t xml:space="preserve"> </w:t>
      </w:r>
      <w:r>
        <w:t>Nutzfläche sowie für Dauercamper beträgt die Freizeitwohnungspauschale das 36</w:t>
      </w:r>
      <w:r w:rsidR="004F5ADF">
        <w:t>fache</w:t>
      </w:r>
      <w:r>
        <w:t xml:space="preserve"> und</w:t>
      </w:r>
      <w:r w:rsidR="004F5ADF">
        <w:t xml:space="preserve"> für Wohnungen über 50m</w:t>
      </w:r>
      <w:r w:rsidR="004F5ADF" w:rsidRPr="001A62EE">
        <w:rPr>
          <w:vertAlign w:val="superscript"/>
        </w:rPr>
        <w:t>2</w:t>
      </w:r>
      <w:r>
        <w:t xml:space="preserve"> Nutzfläche das 54</w:t>
      </w:r>
      <w:r w:rsidR="004F5ADF">
        <w:t>fache</w:t>
      </w:r>
      <w:r w:rsidR="00C2701D">
        <w:t xml:space="preserve"> der </w:t>
      </w:r>
      <w:r>
        <w:t>für Nächtigungen in einer Gästeunterkunft zu entrichtenden Ortstaxe.</w:t>
      </w:r>
    </w:p>
    <w:p w:rsidR="00744270" w:rsidRDefault="00744270" w:rsidP="002F0559">
      <w:pPr>
        <w:jc w:val="both"/>
      </w:pPr>
    </w:p>
    <w:p w:rsidR="00402794" w:rsidRDefault="000D08C8" w:rsidP="002F0559">
      <w:pPr>
        <w:jc w:val="both"/>
      </w:pPr>
      <w:r>
        <w:t xml:space="preserve">Gem. § </w:t>
      </w:r>
      <w:r w:rsidR="009D27F6">
        <w:t xml:space="preserve">55 Abs. 2 und Abs. 4 leg </w:t>
      </w:r>
      <w:proofErr w:type="spellStart"/>
      <w:r w:rsidR="009D27F6">
        <w:t>cit</w:t>
      </w:r>
      <w:proofErr w:type="spellEnd"/>
      <w:r w:rsidR="009D27F6">
        <w:t xml:space="preserve"> ist der Eigentüm</w:t>
      </w:r>
      <w:r>
        <w:t>er</w:t>
      </w:r>
      <w:r w:rsidR="009D27F6">
        <w:t xml:space="preserve"> bzw. die Eigentümerin der Freizeit</w:t>
      </w:r>
      <w:r>
        <w:t xml:space="preserve">wohnung </w:t>
      </w:r>
      <w:r w:rsidR="009D27F6">
        <w:t>verpflichtet die Freizeitwohnungspauschale unaufgefordert an die Gemeinde</w:t>
      </w:r>
      <w:r>
        <w:t xml:space="preserve"> unter Bekanntgabe der </w:t>
      </w:r>
      <w:r w:rsidR="009D27F6">
        <w:t>Nutzfläche der Freizeit</w:t>
      </w:r>
      <w:r>
        <w:t>wohnung</w:t>
      </w:r>
      <w:r w:rsidR="009D27F6">
        <w:t xml:space="preserve"> zu entrichten</w:t>
      </w:r>
      <w:r>
        <w:t>.</w:t>
      </w:r>
      <w:r w:rsidR="00402794">
        <w:t xml:space="preserve"> </w:t>
      </w:r>
    </w:p>
    <w:p w:rsidR="00402794" w:rsidRDefault="00402794" w:rsidP="002F0559">
      <w:pPr>
        <w:jc w:val="both"/>
      </w:pPr>
    </w:p>
    <w:p w:rsidR="000D08C8" w:rsidRDefault="00402794" w:rsidP="002F0559">
      <w:pPr>
        <w:jc w:val="both"/>
      </w:pPr>
      <w:r>
        <w:t>Die Freizeitwohnungspauschale war am 1.12.fällig.</w:t>
      </w:r>
    </w:p>
    <w:p w:rsidR="00252C86" w:rsidRDefault="00252C86">
      <w:pPr>
        <w:rPr>
          <w:rFonts w:cs="Arial"/>
        </w:rPr>
      </w:pPr>
    </w:p>
    <w:p w:rsidR="00D822E8" w:rsidRDefault="00F120E6" w:rsidP="002F0559">
      <w:pPr>
        <w:jc w:val="both"/>
        <w:rPr>
          <w:rFonts w:cs="Arial"/>
        </w:rPr>
      </w:pPr>
      <w:r>
        <w:rPr>
          <w:rFonts w:cs="Arial"/>
        </w:rPr>
        <w:t>D</w:t>
      </w:r>
      <w:r w:rsidR="00D822E8">
        <w:rPr>
          <w:rFonts w:cs="Arial"/>
        </w:rPr>
        <w:t>er Verpflichtung</w:t>
      </w:r>
      <w:r>
        <w:rPr>
          <w:rFonts w:cs="Arial"/>
        </w:rPr>
        <w:t xml:space="preserve">, die Abgabe </w:t>
      </w:r>
      <w:r w:rsidR="0053405D" w:rsidRPr="00D30385">
        <w:t xml:space="preserve">unaufgefordert unter Bekanntgabe der Nutzfläche der Freizeitwohnung </w:t>
      </w:r>
      <w:r>
        <w:rPr>
          <w:rFonts w:cs="Arial"/>
        </w:rPr>
        <w:t xml:space="preserve">selbst zu bemessen und abzuführen </w:t>
      </w:r>
      <w:r w:rsidR="00D822E8">
        <w:rPr>
          <w:rFonts w:cs="Arial"/>
        </w:rPr>
        <w:t>wurde bislang nicht entsprochen</w:t>
      </w:r>
      <w:r>
        <w:rPr>
          <w:rFonts w:cs="Arial"/>
        </w:rPr>
        <w:t xml:space="preserve">, weshalb </w:t>
      </w:r>
      <w:r w:rsidR="002C3879">
        <w:rPr>
          <w:rFonts w:cs="Arial"/>
        </w:rPr>
        <w:t xml:space="preserve">die Abgabe </w:t>
      </w:r>
      <w:r>
        <w:rPr>
          <w:rFonts w:cs="Arial"/>
        </w:rPr>
        <w:t xml:space="preserve">vom Bürgermeister als Abgabenbehörde </w:t>
      </w:r>
      <w:r w:rsidR="009D27F6">
        <w:rPr>
          <w:rFonts w:cs="Arial"/>
        </w:rPr>
        <w:t xml:space="preserve">im übertragenen Wirkungsbereich gem. </w:t>
      </w:r>
      <w:proofErr w:type="gramStart"/>
      <w:r w:rsidR="009D27F6">
        <w:rPr>
          <w:rFonts w:cs="Arial"/>
        </w:rPr>
        <w:t>§</w:t>
      </w:r>
      <w:r w:rsidR="00A4117C">
        <w:rPr>
          <w:rFonts w:cs="Arial"/>
        </w:rPr>
        <w:t> </w:t>
      </w:r>
      <w:r w:rsidR="009D27F6">
        <w:rPr>
          <w:rFonts w:cs="Arial"/>
        </w:rPr>
        <w:t xml:space="preserve"> 55</w:t>
      </w:r>
      <w:proofErr w:type="gramEnd"/>
      <w:r w:rsidR="009D27F6">
        <w:rPr>
          <w:rFonts w:cs="Arial"/>
        </w:rPr>
        <w:t xml:space="preserve"> </w:t>
      </w:r>
      <w:proofErr w:type="spellStart"/>
      <w:r w:rsidR="009D27F6">
        <w:rPr>
          <w:rFonts w:cs="Arial"/>
        </w:rPr>
        <w:t>Abs</w:t>
      </w:r>
      <w:proofErr w:type="spellEnd"/>
      <w:r w:rsidR="009D27F6">
        <w:rPr>
          <w:rFonts w:cs="Arial"/>
        </w:rPr>
        <w:t xml:space="preserve"> 5 </w:t>
      </w:r>
      <w:proofErr w:type="spellStart"/>
      <w:r w:rsidR="009D27F6">
        <w:rPr>
          <w:rFonts w:cs="Arial"/>
        </w:rPr>
        <w:t>Oö</w:t>
      </w:r>
      <w:proofErr w:type="spellEnd"/>
      <w:r w:rsidR="009D27F6">
        <w:rPr>
          <w:rFonts w:cs="Arial"/>
        </w:rPr>
        <w:t>. Tourismusg</w:t>
      </w:r>
      <w:r>
        <w:rPr>
          <w:rFonts w:cs="Arial"/>
        </w:rPr>
        <w:t>esetz</w:t>
      </w:r>
      <w:r w:rsidR="00402794">
        <w:rPr>
          <w:rFonts w:cs="Arial"/>
        </w:rPr>
        <w:t xml:space="preserve"> 2018</w:t>
      </w:r>
      <w:r>
        <w:rPr>
          <w:rFonts w:cs="Arial"/>
        </w:rPr>
        <w:t xml:space="preserve"> </w:t>
      </w:r>
      <w:proofErr w:type="spellStart"/>
      <w:r>
        <w:rPr>
          <w:rFonts w:cs="Arial"/>
        </w:rPr>
        <w:t>iVm</w:t>
      </w:r>
      <w:proofErr w:type="spellEnd"/>
      <w:r>
        <w:rPr>
          <w:rFonts w:cs="Arial"/>
        </w:rPr>
        <w:t xml:space="preserve"> § 201 BAO festzusetzen war</w:t>
      </w:r>
      <w:r w:rsidR="00D822E8">
        <w:rPr>
          <w:rFonts w:cs="Arial"/>
        </w:rPr>
        <w:t>.</w:t>
      </w:r>
    </w:p>
    <w:p w:rsidR="009764C4" w:rsidRDefault="009764C4" w:rsidP="002F0559">
      <w:pPr>
        <w:jc w:val="both"/>
        <w:rPr>
          <w:rFonts w:cs="Arial"/>
        </w:rPr>
      </w:pPr>
    </w:p>
    <w:p w:rsidR="009764C4" w:rsidRPr="00A4117C" w:rsidRDefault="009764C4" w:rsidP="002F0559">
      <w:pPr>
        <w:jc w:val="both"/>
        <w:rPr>
          <w:rFonts w:cs="Arial"/>
          <w:i/>
        </w:rPr>
      </w:pPr>
      <w:r w:rsidRPr="00A4117C">
        <w:rPr>
          <w:rFonts w:cs="Arial"/>
          <w:i/>
        </w:rPr>
        <w:t>Die Aliquotierung ergibt sich gemäß § 55 Abs. 1 Z 2 letzter Satz bzw. Abs. 2 Oö. Tourismusgesetz 2018. Danach vermindert sich für Zeiten, in denen die Wohnung einen Hauptwohnsitz darstellt, die Abgabe für jeden vollen Kalendermonat um ein Zwölftel. Bei einem Wechsel in der Person der bzw. des Abgabepflichtigen teilt sich die Verpflichtung zur Entrichtung der Abgabe auf die einzelnen Monate so auf, dass für jeden Monat ein Zwölftel der Abgabe zu entrichten ist, wobei der Monat, in dem der Übergang erfolgt, der neuen Eigentümerin bzw. dem neuen Eigentümer anzurechnen ist. Dies gilt sinngemäß für die Neuerrichtung und die Aufgabe einer Freizeitwohnung</w:t>
      </w:r>
      <w:r w:rsidR="00A4117C" w:rsidRPr="00A4117C">
        <w:rPr>
          <w:rFonts w:cs="Arial"/>
          <w:i/>
        </w:rPr>
        <w:t xml:space="preserve">. </w:t>
      </w:r>
      <w:r w:rsidR="00A4117C" w:rsidRPr="00A4117C">
        <w:rPr>
          <w:rFonts w:cs="Arial"/>
          <w:b/>
          <w:i/>
          <w:sz w:val="20"/>
          <w:szCs w:val="20"/>
          <w:vertAlign w:val="superscript"/>
        </w:rPr>
        <w:t>3</w:t>
      </w:r>
      <w:r w:rsidR="00CB47F6" w:rsidRPr="00A4117C">
        <w:rPr>
          <w:rFonts w:cs="Arial"/>
          <w:b/>
          <w:i/>
          <w:sz w:val="20"/>
          <w:szCs w:val="20"/>
          <w:vertAlign w:val="superscript"/>
        </w:rPr>
        <w:t>)</w:t>
      </w:r>
    </w:p>
    <w:p w:rsidR="006E4D0D" w:rsidRDefault="006E4D0D" w:rsidP="006E4D0D">
      <w:pPr>
        <w:jc w:val="both"/>
        <w:rPr>
          <w:rFonts w:cs="Arial"/>
          <w:i/>
          <w:highlight w:val="yellow"/>
        </w:rPr>
      </w:pPr>
    </w:p>
    <w:p w:rsidR="006E4D0D" w:rsidRPr="006E4D0D" w:rsidRDefault="006E4D0D" w:rsidP="006E4D0D">
      <w:pPr>
        <w:jc w:val="both"/>
        <w:rPr>
          <w:rFonts w:cs="Arial"/>
          <w:i/>
        </w:rPr>
      </w:pPr>
      <w:r w:rsidRPr="006E4D0D">
        <w:rPr>
          <w:rFonts w:cs="Arial"/>
          <w:i/>
        </w:rPr>
        <w:t>[nähere Ausführungen zum Sachverhalt]</w:t>
      </w:r>
    </w:p>
    <w:p w:rsidR="009F2065" w:rsidRDefault="009F2065" w:rsidP="006E4D0D">
      <w:pPr>
        <w:jc w:val="both"/>
        <w:rPr>
          <w:rFonts w:cs="Arial"/>
        </w:rPr>
      </w:pPr>
    </w:p>
    <w:p w:rsidR="006E4D0D" w:rsidRDefault="006E4D0D" w:rsidP="006E4D0D">
      <w:pPr>
        <w:jc w:val="both"/>
        <w:rPr>
          <w:rFonts w:cs="Arial"/>
        </w:rPr>
      </w:pPr>
    </w:p>
    <w:p w:rsidR="00CE0F2A" w:rsidRPr="006E4D0D" w:rsidRDefault="001C2496" w:rsidP="002F0559">
      <w:pPr>
        <w:jc w:val="both"/>
        <w:rPr>
          <w:rFonts w:cs="Arial"/>
          <w:i/>
        </w:rPr>
      </w:pPr>
      <w:r w:rsidRPr="006E4D0D">
        <w:rPr>
          <w:rFonts w:cs="Arial"/>
          <w:i/>
        </w:rPr>
        <w:t>Ad II</w:t>
      </w:r>
      <w:r w:rsidR="00CE0F2A" w:rsidRPr="006E4D0D">
        <w:rPr>
          <w:rFonts w:cs="Arial"/>
          <w:i/>
        </w:rPr>
        <w:t>.</w:t>
      </w:r>
      <w:r w:rsidRPr="006E4D0D">
        <w:rPr>
          <w:rFonts w:cs="Arial"/>
          <w:i/>
        </w:rPr>
        <w:t>:</w:t>
      </w:r>
    </w:p>
    <w:p w:rsidR="001C2496" w:rsidRPr="006E4D0D" w:rsidRDefault="001C2496" w:rsidP="002F0559">
      <w:pPr>
        <w:jc w:val="both"/>
        <w:rPr>
          <w:rFonts w:cs="Arial"/>
          <w:i/>
        </w:rPr>
      </w:pPr>
      <w:r w:rsidRPr="006E4D0D">
        <w:rPr>
          <w:rFonts w:cs="Arial"/>
          <w:i/>
        </w:rPr>
        <w:t xml:space="preserve">Die Gemeinden werden ermächtigt, durch Beschluss des Gemeinderats einen Zuschlag zur Freizeitwohnungspauschale auszuschreiben und einzuheben. Der Höchstbetrag des jährlichen Zuschlags zur Freizeitwohnungspauschale beträgt: </w:t>
      </w:r>
    </w:p>
    <w:p w:rsidR="001C2496" w:rsidRPr="006E4D0D" w:rsidRDefault="001C2496" w:rsidP="00A4117C">
      <w:pPr>
        <w:ind w:left="426" w:hanging="426"/>
        <w:jc w:val="both"/>
        <w:rPr>
          <w:rFonts w:cs="Arial"/>
          <w:i/>
        </w:rPr>
      </w:pPr>
      <w:r w:rsidRPr="006E4D0D">
        <w:rPr>
          <w:rFonts w:cs="Arial"/>
          <w:i/>
        </w:rPr>
        <w:t>1. Für Wohnungen bis zu 50m² Nutzfläche sowie für Dauercamper 150 % der Freizeitwohnungspauschale,</w:t>
      </w:r>
    </w:p>
    <w:p w:rsidR="001C2496" w:rsidRPr="006E4D0D" w:rsidRDefault="001C2496" w:rsidP="002F0559">
      <w:pPr>
        <w:jc w:val="both"/>
        <w:rPr>
          <w:rFonts w:cs="Arial"/>
          <w:i/>
        </w:rPr>
      </w:pPr>
      <w:r w:rsidRPr="006E4D0D">
        <w:rPr>
          <w:rFonts w:cs="Arial"/>
          <w:i/>
        </w:rPr>
        <w:t>2. für Wohnungen über 50 m² Nutzfläche 200 % der Freizeitwohnungspauschale.</w:t>
      </w:r>
    </w:p>
    <w:p w:rsidR="001C2496" w:rsidRPr="006E4D0D" w:rsidRDefault="001C2496" w:rsidP="002F0559">
      <w:pPr>
        <w:jc w:val="both"/>
        <w:rPr>
          <w:rFonts w:cs="Arial"/>
          <w:i/>
        </w:rPr>
      </w:pPr>
    </w:p>
    <w:p w:rsidR="00CE0F2A" w:rsidRPr="006E4D0D" w:rsidRDefault="00CE0F2A" w:rsidP="002F0559">
      <w:pPr>
        <w:jc w:val="both"/>
        <w:rPr>
          <w:rFonts w:cs="Arial"/>
          <w:i/>
        </w:rPr>
      </w:pPr>
      <w:r w:rsidRPr="006E4D0D">
        <w:rPr>
          <w:rFonts w:cs="Arial"/>
          <w:i/>
        </w:rPr>
        <w:t>Der Zuschlag zur Freizeitwohnungspauschale wird vom Bürgermeister im eigenen Wirkungs</w:t>
      </w:r>
      <w:r w:rsidR="00B67D1F" w:rsidRPr="006E4D0D">
        <w:rPr>
          <w:rFonts w:cs="Arial"/>
          <w:i/>
        </w:rPr>
        <w:softHyphen/>
      </w:r>
      <w:r w:rsidRPr="006E4D0D">
        <w:rPr>
          <w:rFonts w:cs="Arial"/>
          <w:i/>
        </w:rPr>
        <w:t>bereich der Gemeinde eingehoben.</w:t>
      </w:r>
    </w:p>
    <w:p w:rsidR="002B0219" w:rsidRPr="006E4D0D" w:rsidRDefault="002B0219" w:rsidP="002F0559">
      <w:pPr>
        <w:jc w:val="both"/>
        <w:rPr>
          <w:rFonts w:cs="Arial"/>
          <w:i/>
        </w:rPr>
      </w:pPr>
    </w:p>
    <w:p w:rsidR="00CE0F2A" w:rsidRPr="006E4D0D" w:rsidRDefault="00CE0F2A" w:rsidP="002F0559">
      <w:pPr>
        <w:jc w:val="both"/>
        <w:rPr>
          <w:rFonts w:cs="Arial"/>
          <w:i/>
        </w:rPr>
      </w:pPr>
      <w:r w:rsidRPr="006E4D0D">
        <w:rPr>
          <w:rFonts w:cs="Arial"/>
          <w:i/>
        </w:rPr>
        <w:t xml:space="preserve">Aufgrund eines Beschlusses des Gemeinderates vom </w:t>
      </w:r>
      <w:proofErr w:type="gramStart"/>
      <w:r w:rsidRPr="006E4D0D">
        <w:rPr>
          <w:rFonts w:cs="Arial"/>
          <w:i/>
        </w:rPr>
        <w:t>…</w:t>
      </w:r>
      <w:r w:rsidR="00B67D1F" w:rsidRPr="006E4D0D">
        <w:rPr>
          <w:rFonts w:cs="Arial"/>
          <w:i/>
        </w:rPr>
        <w:t>….</w:t>
      </w:r>
      <w:proofErr w:type="gramEnd"/>
      <w:r w:rsidR="00B67D1F" w:rsidRPr="006E4D0D">
        <w:rPr>
          <w:rFonts w:cs="Arial"/>
          <w:i/>
        </w:rPr>
        <w:t xml:space="preserve">…. </w:t>
      </w:r>
      <w:r w:rsidR="002B0219" w:rsidRPr="006E4D0D">
        <w:rPr>
          <w:rFonts w:cs="Arial"/>
          <w:i/>
        </w:rPr>
        <w:t>beträgt</w:t>
      </w:r>
      <w:r w:rsidR="001C2496" w:rsidRPr="006E4D0D">
        <w:rPr>
          <w:rFonts w:cs="Arial"/>
          <w:i/>
        </w:rPr>
        <w:t xml:space="preserve"> der </w:t>
      </w:r>
      <w:r w:rsidRPr="006E4D0D">
        <w:rPr>
          <w:rFonts w:cs="Arial"/>
          <w:i/>
        </w:rPr>
        <w:t xml:space="preserve">Zuschlag </w:t>
      </w:r>
      <w:r w:rsidR="001C2496" w:rsidRPr="006E4D0D">
        <w:rPr>
          <w:rFonts w:cs="Arial"/>
          <w:i/>
        </w:rPr>
        <w:t xml:space="preserve">zur Freizeitwohnungspauschale </w:t>
      </w:r>
      <w:r w:rsidRPr="006E4D0D">
        <w:rPr>
          <w:rFonts w:cs="Arial"/>
          <w:i/>
        </w:rPr>
        <w:t xml:space="preserve">für Wohnungen bis 50 m² Nutzfläche sowie für Dauercamper </w:t>
      </w:r>
      <w:r w:rsidR="001C2496" w:rsidRPr="006E4D0D">
        <w:rPr>
          <w:rFonts w:cs="Arial"/>
          <w:i/>
        </w:rPr>
        <w:t xml:space="preserve">…. € </w:t>
      </w:r>
      <w:r w:rsidRPr="006E4D0D">
        <w:rPr>
          <w:rFonts w:cs="Arial"/>
          <w:i/>
        </w:rPr>
        <w:t>und für Wohnungen über 50 m²</w:t>
      </w:r>
      <w:r w:rsidR="001C2496" w:rsidRPr="006E4D0D">
        <w:rPr>
          <w:rFonts w:cs="Arial"/>
          <w:i/>
        </w:rPr>
        <w:t xml:space="preserve"> Nutzfläche</w:t>
      </w:r>
      <w:proofErr w:type="gramStart"/>
      <w:r w:rsidR="002B0219" w:rsidRPr="006E4D0D">
        <w:rPr>
          <w:rFonts w:cs="Arial"/>
          <w:i/>
        </w:rPr>
        <w:t xml:space="preserve"> ….</w:t>
      </w:r>
      <w:proofErr w:type="gramEnd"/>
      <w:r w:rsidR="002B0219" w:rsidRPr="006E4D0D">
        <w:rPr>
          <w:rFonts w:cs="Arial"/>
          <w:i/>
        </w:rPr>
        <w:t>. €</w:t>
      </w:r>
      <w:r w:rsidRPr="006E4D0D">
        <w:rPr>
          <w:rFonts w:cs="Arial"/>
          <w:i/>
        </w:rPr>
        <w:t>.</w:t>
      </w:r>
    </w:p>
    <w:p w:rsidR="00CE0F2A" w:rsidRPr="006E4D0D" w:rsidRDefault="00CE0F2A" w:rsidP="002F0559">
      <w:pPr>
        <w:jc w:val="both"/>
        <w:rPr>
          <w:rFonts w:cs="Arial"/>
          <w:i/>
          <w:highlight w:val="yellow"/>
        </w:rPr>
      </w:pPr>
    </w:p>
    <w:p w:rsidR="00D822E8" w:rsidRDefault="00D822E8" w:rsidP="00A54E4C">
      <w:pPr>
        <w:jc w:val="both"/>
        <w:rPr>
          <w:rFonts w:cs="Arial"/>
        </w:rPr>
      </w:pPr>
    </w:p>
    <w:p w:rsidR="002F0559" w:rsidRDefault="002F0559" w:rsidP="00A54E4C">
      <w:pPr>
        <w:pStyle w:val="Kopfzeile"/>
        <w:tabs>
          <w:tab w:val="left" w:pos="284"/>
        </w:tabs>
        <w:jc w:val="both"/>
      </w:pPr>
    </w:p>
    <w:p w:rsidR="00D822E8" w:rsidRDefault="00D822E8" w:rsidP="00A54E4C">
      <w:pPr>
        <w:pStyle w:val="Kopfzeile"/>
        <w:tabs>
          <w:tab w:val="left" w:pos="284"/>
        </w:tabs>
        <w:jc w:val="both"/>
      </w:pPr>
      <w:r>
        <w:t>Es war daher spruchgemäß zu entscheiden.</w:t>
      </w:r>
    </w:p>
    <w:p w:rsidR="00D822E8" w:rsidRDefault="00D822E8" w:rsidP="00A54E4C">
      <w:pPr>
        <w:jc w:val="both"/>
        <w:rPr>
          <w:rFonts w:cs="Arial"/>
        </w:rPr>
      </w:pPr>
    </w:p>
    <w:p w:rsidR="00A4117C" w:rsidRDefault="00A4117C" w:rsidP="00A54E4C">
      <w:pPr>
        <w:jc w:val="both"/>
        <w:rPr>
          <w:rFonts w:cs="Arial"/>
        </w:rPr>
      </w:pPr>
    </w:p>
    <w:p w:rsidR="006E4D0D" w:rsidRDefault="006E4D0D">
      <w:pPr>
        <w:rPr>
          <w:rFonts w:cs="Arial"/>
        </w:rPr>
      </w:pPr>
      <w:r>
        <w:rPr>
          <w:rFonts w:cs="Arial"/>
        </w:rPr>
        <w:br w:type="page"/>
      </w:r>
    </w:p>
    <w:p w:rsidR="00A4117C" w:rsidRDefault="00A4117C" w:rsidP="00A54E4C">
      <w:pPr>
        <w:jc w:val="both"/>
        <w:rPr>
          <w:rFonts w:cs="Arial"/>
        </w:rPr>
      </w:pPr>
    </w:p>
    <w:p w:rsidR="00D822E8" w:rsidRPr="00C220CF" w:rsidRDefault="00D822E8" w:rsidP="008D2459">
      <w:pPr>
        <w:tabs>
          <w:tab w:val="left" w:pos="540"/>
        </w:tabs>
        <w:jc w:val="center"/>
        <w:rPr>
          <w:rFonts w:cs="Arial"/>
          <w:b/>
        </w:rPr>
      </w:pPr>
      <w:r>
        <w:rPr>
          <w:rFonts w:cs="Arial"/>
          <w:b/>
        </w:rPr>
        <w:t>RECHTSMITTELBELEHRUNG:</w:t>
      </w:r>
    </w:p>
    <w:p w:rsidR="00D822E8" w:rsidRDefault="00D822E8" w:rsidP="001F5A7E">
      <w:pPr>
        <w:tabs>
          <w:tab w:val="left" w:pos="540"/>
        </w:tabs>
        <w:rPr>
          <w:rFonts w:cs="Arial"/>
        </w:rPr>
      </w:pPr>
    </w:p>
    <w:p w:rsidR="002811F1" w:rsidRDefault="002811F1" w:rsidP="002811F1">
      <w:pPr>
        <w:jc w:val="both"/>
        <w:rPr>
          <w:rFonts w:cs="Arial"/>
          <w:sz w:val="22"/>
          <w:szCs w:val="22"/>
        </w:rPr>
      </w:pPr>
      <w:r>
        <w:rPr>
          <w:rFonts w:cs="Arial"/>
        </w:rPr>
        <w:t>Sie haben das Recht, gegen diesen Bescheid Beschwerde einzulegen. Die Beschwerde muss innerhalb eines Monates nach der Zustellung des Bescheides bei der Gemeinde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2811F1" w:rsidRDefault="002811F1" w:rsidP="002811F1">
      <w:pPr>
        <w:jc w:val="both"/>
        <w:rPr>
          <w:rFonts w:cs="Arial"/>
        </w:rPr>
      </w:pPr>
      <w:r>
        <w:rPr>
          <w:rFonts w:cs="Arial"/>
        </w:rPr>
        <w:t xml:space="preserve">Falls Sie innerhalb der Beschwerdefrist einen Antrag auf Bewilligung der Verfahrenshilfe stellen, beginnt die Beschwerdefrist mit dem Zeitpunkt, in dem der Beschluss über die Bestellung des Wirtschaftstreuhänders </w:t>
      </w:r>
      <w:proofErr w:type="spellStart"/>
      <w:r>
        <w:rPr>
          <w:rFonts w:cs="Arial"/>
        </w:rPr>
        <w:t>bzw</w:t>
      </w:r>
      <w:proofErr w:type="spellEnd"/>
      <w:r>
        <w:rPr>
          <w:rFonts w:cs="Arial"/>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2811F1" w:rsidRDefault="002811F1" w:rsidP="002811F1">
      <w:pPr>
        <w:jc w:val="both"/>
        <w:rPr>
          <w:rFonts w:cs="Arial"/>
        </w:rPr>
      </w:pPr>
      <w:r>
        <w:rPr>
          <w:rFonts w:cs="Arial"/>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D822E8" w:rsidRDefault="00D822E8" w:rsidP="00BE780E">
      <w:pPr>
        <w:spacing w:line="360" w:lineRule="auto"/>
        <w:jc w:val="both"/>
        <w:rPr>
          <w:rFonts w:cs="Arial"/>
        </w:rPr>
      </w:pPr>
    </w:p>
    <w:p w:rsidR="00D822E8" w:rsidRPr="006905B0" w:rsidRDefault="00D822E8" w:rsidP="006905B0">
      <w:pPr>
        <w:pStyle w:val="berschrift2"/>
        <w:jc w:val="center"/>
        <w:rPr>
          <w:rFonts w:ascii="Arial" w:hAnsi="Arial" w:cs="Arial"/>
          <w:b/>
          <w:sz w:val="24"/>
          <w:u w:val="none"/>
        </w:rPr>
      </w:pPr>
      <w:r w:rsidRPr="006905B0">
        <w:rPr>
          <w:rFonts w:ascii="Arial" w:hAnsi="Arial" w:cs="Arial"/>
          <w:b/>
          <w:sz w:val="24"/>
          <w:u w:val="none"/>
        </w:rPr>
        <w:t>Zustellungshinweis</w:t>
      </w:r>
      <w:r>
        <w:rPr>
          <w:rFonts w:ascii="Arial" w:hAnsi="Arial" w:cs="Arial"/>
          <w:b/>
          <w:sz w:val="24"/>
          <w:u w:val="none"/>
        </w:rPr>
        <w:t>:</w:t>
      </w:r>
    </w:p>
    <w:p w:rsidR="00D822E8" w:rsidRDefault="00D822E8" w:rsidP="006905B0">
      <w:pPr>
        <w:jc w:val="both"/>
        <w:rPr>
          <w:rFonts w:cs="Arial"/>
        </w:rPr>
      </w:pPr>
    </w:p>
    <w:p w:rsidR="00D822E8" w:rsidRDefault="00D822E8" w:rsidP="006905B0">
      <w:pPr>
        <w:jc w:val="both"/>
        <w:rPr>
          <w:rFonts w:cs="Arial"/>
        </w:rPr>
      </w:pPr>
      <w:r>
        <w:rPr>
          <w:rFonts w:cs="Arial"/>
        </w:rPr>
        <w:t>Mit der Zustellung an eine der im Bescheid genannten Personen gilt die Zustellung dieses Bescheides an alle als vollzogen (§ 101 Abs. 1 BAO).</w:t>
      </w:r>
    </w:p>
    <w:p w:rsidR="00D822E8" w:rsidRDefault="00D822E8" w:rsidP="006905B0">
      <w:pPr>
        <w:jc w:val="both"/>
        <w:rPr>
          <w:rFonts w:cs="Arial"/>
        </w:rPr>
      </w:pPr>
    </w:p>
    <w:p w:rsidR="00D822E8" w:rsidRDefault="00D822E8" w:rsidP="001F5A7E">
      <w:pPr>
        <w:tabs>
          <w:tab w:val="left" w:pos="540"/>
        </w:tabs>
        <w:rPr>
          <w:rFonts w:cs="Arial"/>
        </w:rPr>
      </w:pPr>
    </w:p>
    <w:p w:rsidR="00D822E8" w:rsidRPr="004F40BD" w:rsidRDefault="00D822E8" w:rsidP="001F5A7E">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Der Bürgermeister / Die Bürgermeisterin</w:t>
      </w:r>
    </w:p>
    <w:sectPr w:rsidR="00D822E8" w:rsidRPr="004F40BD" w:rsidSect="004F45F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62" w:rsidRDefault="004F6862">
      <w:r>
        <w:separator/>
      </w:r>
    </w:p>
  </w:endnote>
  <w:endnote w:type="continuationSeparator" w:id="0">
    <w:p w:rsidR="004F6862" w:rsidRDefault="004F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F2" w:rsidRDefault="004F45F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8C" w:rsidRDefault="0067788C">
    <w:pPr>
      <w:pStyle w:val="Fuzeile"/>
      <w:tabs>
        <w:tab w:val="clear" w:pos="4153"/>
        <w:tab w:val="clear" w:pos="8306"/>
        <w:tab w:val="left" w:pos="4680"/>
        <w:tab w:val="left" w:pos="8280"/>
      </w:tabs>
      <w:rPr>
        <w:rFonts w:ascii="Lucida Console" w:hAnsi="Lucida Console"/>
        <w:sz w:val="20"/>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F2" w:rsidRPr="006905B0" w:rsidRDefault="004F45F2" w:rsidP="004F45F2">
    <w:pPr>
      <w:pStyle w:val="Fuzeile"/>
      <w:pBdr>
        <w:bottom w:val="single" w:sz="12" w:space="1" w:color="auto"/>
      </w:pBdr>
      <w:tabs>
        <w:tab w:val="clear" w:pos="4153"/>
        <w:tab w:val="clear" w:pos="8306"/>
      </w:tabs>
      <w:rPr>
        <w:rFonts w:cs="Arial"/>
        <w:sz w:val="18"/>
        <w:szCs w:val="18"/>
      </w:rPr>
    </w:pPr>
  </w:p>
  <w:p w:rsidR="004F45F2" w:rsidRPr="008A31C1" w:rsidRDefault="004F45F2" w:rsidP="004F45F2">
    <w:pPr>
      <w:pStyle w:val="Fuzeile"/>
      <w:tabs>
        <w:tab w:val="clear" w:pos="4153"/>
        <w:tab w:val="clear" w:pos="8306"/>
      </w:tabs>
      <w:rPr>
        <w:rFonts w:cs="Arial"/>
        <w:sz w:val="18"/>
        <w:szCs w:val="18"/>
      </w:rPr>
    </w:pPr>
    <w:r>
      <w:rPr>
        <w:rFonts w:cs="Arial"/>
        <w:sz w:val="18"/>
        <w:szCs w:val="18"/>
      </w:rPr>
      <w:t>OÖ Gemeindebund:   Tourismuspauschale Ferienwohnung – Festsetzung</w:t>
    </w:r>
    <w:r>
      <w:rPr>
        <w:rFonts w:cs="Arial"/>
        <w:sz w:val="18"/>
        <w:szCs w:val="18"/>
      </w:rPr>
      <w:tab/>
    </w:r>
    <w:r>
      <w:rPr>
        <w:rFonts w:cs="Arial"/>
        <w:sz w:val="18"/>
        <w:szCs w:val="18"/>
      </w:rPr>
      <w:tab/>
    </w:r>
    <w:r>
      <w:rPr>
        <w:rFonts w:cs="Arial"/>
        <w:sz w:val="18"/>
        <w:szCs w:val="18"/>
      </w:rPr>
      <w:tab/>
    </w:r>
    <w:r>
      <w:rPr>
        <w:rFonts w:cs="Arial"/>
        <w:sz w:val="18"/>
        <w:szCs w:val="18"/>
      </w:rPr>
      <w:tab/>
      <w:t xml:space="preserve">               Feb 2020</w:t>
    </w:r>
  </w:p>
  <w:p w:rsidR="004F45F2" w:rsidRDefault="004F45F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62" w:rsidRDefault="004F6862">
      <w:r>
        <w:separator/>
      </w:r>
    </w:p>
  </w:footnote>
  <w:footnote w:type="continuationSeparator" w:id="0">
    <w:p w:rsidR="004F6862" w:rsidRDefault="004F6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F2" w:rsidRDefault="004F45F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F2" w:rsidRDefault="004F45F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F2" w:rsidRDefault="004F45F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50C"/>
    <w:multiLevelType w:val="hybridMultilevel"/>
    <w:tmpl w:val="41408AD8"/>
    <w:lvl w:ilvl="0" w:tplc="2CC4EA5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F656ED"/>
    <w:multiLevelType w:val="hybridMultilevel"/>
    <w:tmpl w:val="4B985B72"/>
    <w:lvl w:ilvl="0" w:tplc="85DCBF6C">
      <w:start w:val="1"/>
      <w:numFmt w:val="lowerLetter"/>
      <w:lvlText w:val="%1)"/>
      <w:lvlJc w:val="left"/>
      <w:pPr>
        <w:tabs>
          <w:tab w:val="num" w:pos="900"/>
        </w:tabs>
        <w:ind w:left="900" w:hanging="54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98616E"/>
    <w:multiLevelType w:val="hybridMultilevel"/>
    <w:tmpl w:val="2D6E41C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9E5EF3"/>
    <w:multiLevelType w:val="hybridMultilevel"/>
    <w:tmpl w:val="AF480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FF239B"/>
    <w:multiLevelType w:val="hybridMultilevel"/>
    <w:tmpl w:val="430A2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9DE6E37"/>
    <w:multiLevelType w:val="hybridMultilevel"/>
    <w:tmpl w:val="27DA4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352C01"/>
    <w:multiLevelType w:val="hybridMultilevel"/>
    <w:tmpl w:val="D58A8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C"/>
    <w:rsid w:val="00000BB1"/>
    <w:rsid w:val="000018DE"/>
    <w:rsid w:val="00007CA1"/>
    <w:rsid w:val="00016C41"/>
    <w:rsid w:val="00024BDD"/>
    <w:rsid w:val="000329B5"/>
    <w:rsid w:val="00036C4D"/>
    <w:rsid w:val="000405E5"/>
    <w:rsid w:val="0005451A"/>
    <w:rsid w:val="0006147D"/>
    <w:rsid w:val="00075767"/>
    <w:rsid w:val="0008004D"/>
    <w:rsid w:val="00081E4F"/>
    <w:rsid w:val="00084D14"/>
    <w:rsid w:val="000B5683"/>
    <w:rsid w:val="000C0914"/>
    <w:rsid w:val="000C3827"/>
    <w:rsid w:val="000D08C8"/>
    <w:rsid w:val="000E0EAB"/>
    <w:rsid w:val="000E1CA7"/>
    <w:rsid w:val="000E5258"/>
    <w:rsid w:val="000E7FA3"/>
    <w:rsid w:val="000F4AC3"/>
    <w:rsid w:val="000F692A"/>
    <w:rsid w:val="00105A41"/>
    <w:rsid w:val="001131D8"/>
    <w:rsid w:val="001137B0"/>
    <w:rsid w:val="00116E07"/>
    <w:rsid w:val="00121FC9"/>
    <w:rsid w:val="00122378"/>
    <w:rsid w:val="001276F0"/>
    <w:rsid w:val="00151B55"/>
    <w:rsid w:val="00153D57"/>
    <w:rsid w:val="0015581D"/>
    <w:rsid w:val="00164F01"/>
    <w:rsid w:val="00172BF1"/>
    <w:rsid w:val="00186BF0"/>
    <w:rsid w:val="00195E12"/>
    <w:rsid w:val="00195F55"/>
    <w:rsid w:val="00196863"/>
    <w:rsid w:val="001A62EE"/>
    <w:rsid w:val="001A68AF"/>
    <w:rsid w:val="001C21DF"/>
    <w:rsid w:val="001C2496"/>
    <w:rsid w:val="001D15B0"/>
    <w:rsid w:val="001E14F5"/>
    <w:rsid w:val="001E552E"/>
    <w:rsid w:val="001F5A7E"/>
    <w:rsid w:val="002044E6"/>
    <w:rsid w:val="0020509F"/>
    <w:rsid w:val="00211253"/>
    <w:rsid w:val="00222E86"/>
    <w:rsid w:val="0023066E"/>
    <w:rsid w:val="002347E9"/>
    <w:rsid w:val="00252C86"/>
    <w:rsid w:val="002642C7"/>
    <w:rsid w:val="0027145F"/>
    <w:rsid w:val="002811F1"/>
    <w:rsid w:val="002A40A0"/>
    <w:rsid w:val="002A57E9"/>
    <w:rsid w:val="002B0219"/>
    <w:rsid w:val="002B3B91"/>
    <w:rsid w:val="002C3879"/>
    <w:rsid w:val="002C5299"/>
    <w:rsid w:val="002E083D"/>
    <w:rsid w:val="002E1318"/>
    <w:rsid w:val="002E56D2"/>
    <w:rsid w:val="002F0559"/>
    <w:rsid w:val="002F4449"/>
    <w:rsid w:val="00300368"/>
    <w:rsid w:val="0032735C"/>
    <w:rsid w:val="00350C89"/>
    <w:rsid w:val="003603E1"/>
    <w:rsid w:val="00366420"/>
    <w:rsid w:val="00383ED8"/>
    <w:rsid w:val="00393D0E"/>
    <w:rsid w:val="003B1AF4"/>
    <w:rsid w:val="003B3D8B"/>
    <w:rsid w:val="003C0DAB"/>
    <w:rsid w:val="003C38F6"/>
    <w:rsid w:val="003C398B"/>
    <w:rsid w:val="003D1599"/>
    <w:rsid w:val="003D1F05"/>
    <w:rsid w:val="003E50DF"/>
    <w:rsid w:val="003F2774"/>
    <w:rsid w:val="00402794"/>
    <w:rsid w:val="004115B7"/>
    <w:rsid w:val="004271BA"/>
    <w:rsid w:val="00440ACD"/>
    <w:rsid w:val="00442548"/>
    <w:rsid w:val="0045539C"/>
    <w:rsid w:val="00470AC4"/>
    <w:rsid w:val="00481DAD"/>
    <w:rsid w:val="00487F5F"/>
    <w:rsid w:val="004903EE"/>
    <w:rsid w:val="00494820"/>
    <w:rsid w:val="004A3E4C"/>
    <w:rsid w:val="004A5194"/>
    <w:rsid w:val="004B7B8F"/>
    <w:rsid w:val="004D3A70"/>
    <w:rsid w:val="004E1CB4"/>
    <w:rsid w:val="004F3FE0"/>
    <w:rsid w:val="004F40BD"/>
    <w:rsid w:val="004F45F2"/>
    <w:rsid w:val="004F49AA"/>
    <w:rsid w:val="004F5ADF"/>
    <w:rsid w:val="004F6862"/>
    <w:rsid w:val="00510A41"/>
    <w:rsid w:val="00510A52"/>
    <w:rsid w:val="00516769"/>
    <w:rsid w:val="0052245F"/>
    <w:rsid w:val="005254FB"/>
    <w:rsid w:val="00531E58"/>
    <w:rsid w:val="0053405D"/>
    <w:rsid w:val="00537CFC"/>
    <w:rsid w:val="00552D37"/>
    <w:rsid w:val="005565D9"/>
    <w:rsid w:val="00565AB6"/>
    <w:rsid w:val="005661B7"/>
    <w:rsid w:val="00567AEC"/>
    <w:rsid w:val="00573B36"/>
    <w:rsid w:val="00575A49"/>
    <w:rsid w:val="0057786F"/>
    <w:rsid w:val="00581045"/>
    <w:rsid w:val="005B199D"/>
    <w:rsid w:val="005C02CD"/>
    <w:rsid w:val="005E0D4C"/>
    <w:rsid w:val="005E2174"/>
    <w:rsid w:val="005F41C5"/>
    <w:rsid w:val="0060202F"/>
    <w:rsid w:val="00602C90"/>
    <w:rsid w:val="0060665D"/>
    <w:rsid w:val="006122E3"/>
    <w:rsid w:val="0061346A"/>
    <w:rsid w:val="0062196C"/>
    <w:rsid w:val="00627D38"/>
    <w:rsid w:val="00640432"/>
    <w:rsid w:val="00647226"/>
    <w:rsid w:val="00653214"/>
    <w:rsid w:val="00671084"/>
    <w:rsid w:val="0067196A"/>
    <w:rsid w:val="00675153"/>
    <w:rsid w:val="0067788C"/>
    <w:rsid w:val="006905B0"/>
    <w:rsid w:val="006934EC"/>
    <w:rsid w:val="00695766"/>
    <w:rsid w:val="00695A70"/>
    <w:rsid w:val="006978B1"/>
    <w:rsid w:val="006B1354"/>
    <w:rsid w:val="006B4296"/>
    <w:rsid w:val="006E22D6"/>
    <w:rsid w:val="006E4D0D"/>
    <w:rsid w:val="006F3A78"/>
    <w:rsid w:val="006F5254"/>
    <w:rsid w:val="00710BA7"/>
    <w:rsid w:val="0071643F"/>
    <w:rsid w:val="00717B64"/>
    <w:rsid w:val="00722907"/>
    <w:rsid w:val="00725DFD"/>
    <w:rsid w:val="00742015"/>
    <w:rsid w:val="00744270"/>
    <w:rsid w:val="00755107"/>
    <w:rsid w:val="00773BE7"/>
    <w:rsid w:val="00776B99"/>
    <w:rsid w:val="007810E1"/>
    <w:rsid w:val="00784697"/>
    <w:rsid w:val="00794DE8"/>
    <w:rsid w:val="007A0A82"/>
    <w:rsid w:val="007A4FF6"/>
    <w:rsid w:val="007B082A"/>
    <w:rsid w:val="007B48AB"/>
    <w:rsid w:val="007B554C"/>
    <w:rsid w:val="007C3B6F"/>
    <w:rsid w:val="007C51F5"/>
    <w:rsid w:val="007F17F7"/>
    <w:rsid w:val="0080717C"/>
    <w:rsid w:val="0081066E"/>
    <w:rsid w:val="00816CF3"/>
    <w:rsid w:val="00824DB3"/>
    <w:rsid w:val="00826DB9"/>
    <w:rsid w:val="008314F9"/>
    <w:rsid w:val="00835F8B"/>
    <w:rsid w:val="0084735C"/>
    <w:rsid w:val="00871478"/>
    <w:rsid w:val="00885218"/>
    <w:rsid w:val="00895920"/>
    <w:rsid w:val="00895CBD"/>
    <w:rsid w:val="00895CF6"/>
    <w:rsid w:val="008A0B1A"/>
    <w:rsid w:val="008A31C1"/>
    <w:rsid w:val="008A46A5"/>
    <w:rsid w:val="008A68A2"/>
    <w:rsid w:val="008C0798"/>
    <w:rsid w:val="008D03E8"/>
    <w:rsid w:val="008D0D6C"/>
    <w:rsid w:val="008D2459"/>
    <w:rsid w:val="008F38FE"/>
    <w:rsid w:val="009067DE"/>
    <w:rsid w:val="00910264"/>
    <w:rsid w:val="009106E0"/>
    <w:rsid w:val="0091112D"/>
    <w:rsid w:val="00920806"/>
    <w:rsid w:val="00930686"/>
    <w:rsid w:val="009561BC"/>
    <w:rsid w:val="0096149C"/>
    <w:rsid w:val="00970E75"/>
    <w:rsid w:val="009764C4"/>
    <w:rsid w:val="009852A0"/>
    <w:rsid w:val="009A239B"/>
    <w:rsid w:val="009A71A3"/>
    <w:rsid w:val="009D27F6"/>
    <w:rsid w:val="009D319B"/>
    <w:rsid w:val="009D45E9"/>
    <w:rsid w:val="009D4762"/>
    <w:rsid w:val="009D67C3"/>
    <w:rsid w:val="009E447A"/>
    <w:rsid w:val="009E4B3D"/>
    <w:rsid w:val="009F0D6F"/>
    <w:rsid w:val="009F2065"/>
    <w:rsid w:val="00A030BD"/>
    <w:rsid w:val="00A05FAC"/>
    <w:rsid w:val="00A06A36"/>
    <w:rsid w:val="00A145EC"/>
    <w:rsid w:val="00A31AA4"/>
    <w:rsid w:val="00A4117C"/>
    <w:rsid w:val="00A54E4C"/>
    <w:rsid w:val="00A6456A"/>
    <w:rsid w:val="00A65B45"/>
    <w:rsid w:val="00A66AEA"/>
    <w:rsid w:val="00A66BDA"/>
    <w:rsid w:val="00A71B70"/>
    <w:rsid w:val="00A744D0"/>
    <w:rsid w:val="00A94597"/>
    <w:rsid w:val="00A9473B"/>
    <w:rsid w:val="00AB7569"/>
    <w:rsid w:val="00AB7DAD"/>
    <w:rsid w:val="00AC066A"/>
    <w:rsid w:val="00AC534E"/>
    <w:rsid w:val="00AE3EF0"/>
    <w:rsid w:val="00AE4A9D"/>
    <w:rsid w:val="00AE79CE"/>
    <w:rsid w:val="00AF7C90"/>
    <w:rsid w:val="00B01D9B"/>
    <w:rsid w:val="00B12644"/>
    <w:rsid w:val="00B2239B"/>
    <w:rsid w:val="00B261A8"/>
    <w:rsid w:val="00B31B2F"/>
    <w:rsid w:val="00B61CF6"/>
    <w:rsid w:val="00B62233"/>
    <w:rsid w:val="00B649EA"/>
    <w:rsid w:val="00B64EBA"/>
    <w:rsid w:val="00B67D1F"/>
    <w:rsid w:val="00B727E9"/>
    <w:rsid w:val="00B7481F"/>
    <w:rsid w:val="00B87A55"/>
    <w:rsid w:val="00BA2232"/>
    <w:rsid w:val="00BC4F8D"/>
    <w:rsid w:val="00BE1966"/>
    <w:rsid w:val="00BE39CF"/>
    <w:rsid w:val="00BE780E"/>
    <w:rsid w:val="00C06EEC"/>
    <w:rsid w:val="00C13099"/>
    <w:rsid w:val="00C220CF"/>
    <w:rsid w:val="00C25489"/>
    <w:rsid w:val="00C26DD7"/>
    <w:rsid w:val="00C2701D"/>
    <w:rsid w:val="00C36116"/>
    <w:rsid w:val="00C369FF"/>
    <w:rsid w:val="00C4157E"/>
    <w:rsid w:val="00C4527A"/>
    <w:rsid w:val="00C5261D"/>
    <w:rsid w:val="00C61419"/>
    <w:rsid w:val="00C64143"/>
    <w:rsid w:val="00C64F18"/>
    <w:rsid w:val="00C673DD"/>
    <w:rsid w:val="00C705DF"/>
    <w:rsid w:val="00C91A74"/>
    <w:rsid w:val="00CA4A22"/>
    <w:rsid w:val="00CB15FA"/>
    <w:rsid w:val="00CB47F6"/>
    <w:rsid w:val="00CC4724"/>
    <w:rsid w:val="00CD2CCD"/>
    <w:rsid w:val="00CE0F2A"/>
    <w:rsid w:val="00CE4873"/>
    <w:rsid w:val="00CF6F0E"/>
    <w:rsid w:val="00D031D2"/>
    <w:rsid w:val="00D10761"/>
    <w:rsid w:val="00D20134"/>
    <w:rsid w:val="00D20C36"/>
    <w:rsid w:val="00D256C0"/>
    <w:rsid w:val="00D30A5C"/>
    <w:rsid w:val="00D32F6A"/>
    <w:rsid w:val="00D41B87"/>
    <w:rsid w:val="00D55DA3"/>
    <w:rsid w:val="00D5771D"/>
    <w:rsid w:val="00D57BC3"/>
    <w:rsid w:val="00D6590B"/>
    <w:rsid w:val="00D67F15"/>
    <w:rsid w:val="00D70F6A"/>
    <w:rsid w:val="00D76C62"/>
    <w:rsid w:val="00D76CB6"/>
    <w:rsid w:val="00D80428"/>
    <w:rsid w:val="00D822E8"/>
    <w:rsid w:val="00DA117C"/>
    <w:rsid w:val="00DB5697"/>
    <w:rsid w:val="00DD023A"/>
    <w:rsid w:val="00DD5647"/>
    <w:rsid w:val="00DF2297"/>
    <w:rsid w:val="00DF4BF8"/>
    <w:rsid w:val="00DF6130"/>
    <w:rsid w:val="00DF6422"/>
    <w:rsid w:val="00E0125F"/>
    <w:rsid w:val="00E03391"/>
    <w:rsid w:val="00E0688F"/>
    <w:rsid w:val="00E35F6F"/>
    <w:rsid w:val="00E6273A"/>
    <w:rsid w:val="00E67825"/>
    <w:rsid w:val="00E6786D"/>
    <w:rsid w:val="00E800CD"/>
    <w:rsid w:val="00E8153E"/>
    <w:rsid w:val="00E82B57"/>
    <w:rsid w:val="00E83891"/>
    <w:rsid w:val="00E878E8"/>
    <w:rsid w:val="00EA1DF6"/>
    <w:rsid w:val="00EB57DD"/>
    <w:rsid w:val="00EC04E0"/>
    <w:rsid w:val="00ED02CC"/>
    <w:rsid w:val="00EE0A1B"/>
    <w:rsid w:val="00EE2505"/>
    <w:rsid w:val="00EE7769"/>
    <w:rsid w:val="00EF18AC"/>
    <w:rsid w:val="00F120E6"/>
    <w:rsid w:val="00F25447"/>
    <w:rsid w:val="00F341E7"/>
    <w:rsid w:val="00F52465"/>
    <w:rsid w:val="00F52744"/>
    <w:rsid w:val="00F57BFF"/>
    <w:rsid w:val="00F60DEA"/>
    <w:rsid w:val="00F60F37"/>
    <w:rsid w:val="00F73972"/>
    <w:rsid w:val="00F824C7"/>
    <w:rsid w:val="00FB6CEF"/>
    <w:rsid w:val="00FC667B"/>
    <w:rsid w:val="00FC7B11"/>
    <w:rsid w:val="00FE0FCB"/>
    <w:rsid w:val="00FE5B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8187E"/>
  <w15:docId w15:val="{5177256C-3B9D-4686-8834-F7D694C2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AEA"/>
    <w:rPr>
      <w:rFonts w:ascii="Arial" w:hAnsi="Arial"/>
      <w:sz w:val="24"/>
      <w:szCs w:val="24"/>
      <w:lang w:eastAsia="de-DE"/>
    </w:rPr>
  </w:style>
  <w:style w:type="paragraph" w:styleId="berschrift1">
    <w:name w:val="heading 1"/>
    <w:basedOn w:val="Standard"/>
    <w:next w:val="Standard"/>
    <w:qFormat/>
    <w:rsid w:val="00A66AEA"/>
    <w:pPr>
      <w:keepNext/>
      <w:tabs>
        <w:tab w:val="left" w:pos="540"/>
        <w:tab w:val="left" w:pos="3960"/>
        <w:tab w:val="left" w:pos="8460"/>
        <w:tab w:val="left" w:pos="9180"/>
      </w:tabs>
      <w:ind w:right="333"/>
      <w:jc w:val="center"/>
      <w:outlineLvl w:val="0"/>
    </w:pPr>
    <w:rPr>
      <w:u w:val="single"/>
      <w:lang w:val="it-IT"/>
    </w:rPr>
  </w:style>
  <w:style w:type="paragraph" w:styleId="berschrift2">
    <w:name w:val="heading 2"/>
    <w:basedOn w:val="Standard"/>
    <w:next w:val="Standard"/>
    <w:qFormat/>
    <w:rsid w:val="00A66AEA"/>
    <w:pPr>
      <w:keepNext/>
      <w:tabs>
        <w:tab w:val="left" w:pos="540"/>
        <w:tab w:val="left" w:pos="4140"/>
        <w:tab w:val="left" w:pos="5580"/>
        <w:tab w:val="left" w:pos="7740"/>
      </w:tabs>
      <w:ind w:right="333"/>
      <w:outlineLvl w:val="1"/>
    </w:pPr>
    <w:rPr>
      <w:rFonts w:ascii="Lucida Console" w:hAnsi="Lucida Console"/>
      <w:sz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66AEA"/>
    <w:rPr>
      <w:rFonts w:ascii="Lucida Console" w:hAnsi="Lucida Console"/>
      <w:sz w:val="20"/>
    </w:rPr>
  </w:style>
  <w:style w:type="paragraph" w:styleId="Kopfzeile">
    <w:name w:val="header"/>
    <w:basedOn w:val="Standard"/>
    <w:rsid w:val="00A66AEA"/>
    <w:pPr>
      <w:tabs>
        <w:tab w:val="center" w:pos="4153"/>
        <w:tab w:val="right" w:pos="8306"/>
      </w:tabs>
    </w:pPr>
  </w:style>
  <w:style w:type="paragraph" w:styleId="Fuzeile">
    <w:name w:val="footer"/>
    <w:basedOn w:val="Standard"/>
    <w:rsid w:val="00A66AEA"/>
    <w:pPr>
      <w:tabs>
        <w:tab w:val="center" w:pos="4153"/>
        <w:tab w:val="right" w:pos="8306"/>
      </w:tabs>
    </w:pPr>
  </w:style>
  <w:style w:type="paragraph" w:styleId="Textkrper">
    <w:name w:val="Body Text"/>
    <w:basedOn w:val="Standard"/>
    <w:rsid w:val="00A66AEA"/>
    <w:pPr>
      <w:tabs>
        <w:tab w:val="left" w:pos="540"/>
        <w:tab w:val="left" w:pos="3960"/>
        <w:tab w:val="left" w:pos="8460"/>
        <w:tab w:val="left" w:pos="9180"/>
      </w:tabs>
      <w:ind w:right="333"/>
    </w:pPr>
    <w:rPr>
      <w:rFonts w:ascii="Lucida Console" w:hAnsi="Lucida Console"/>
      <w:sz w:val="20"/>
      <w:lang w:val="de-DE"/>
    </w:rPr>
  </w:style>
  <w:style w:type="paragraph" w:styleId="Textkrper-Zeileneinzug">
    <w:name w:val="Body Text Indent"/>
    <w:basedOn w:val="Standard"/>
    <w:rsid w:val="00A66AEA"/>
    <w:pPr>
      <w:tabs>
        <w:tab w:val="left" w:pos="1260"/>
      </w:tabs>
      <w:ind w:left="708" w:hanging="708"/>
    </w:pPr>
    <w:rPr>
      <w:rFonts w:ascii="Lucida Console" w:hAnsi="Lucida Console"/>
      <w:sz w:val="20"/>
    </w:rPr>
  </w:style>
  <w:style w:type="table" w:styleId="Tabellenraster">
    <w:name w:val="Table Grid"/>
    <w:basedOn w:val="NormaleTabelle"/>
    <w:rsid w:val="002E56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45EC"/>
    <w:rPr>
      <w:rFonts w:ascii="Tahoma" w:hAnsi="Tahoma" w:cs="Tahoma"/>
      <w:sz w:val="16"/>
      <w:szCs w:val="16"/>
    </w:rPr>
  </w:style>
  <w:style w:type="character" w:styleId="Kommentarzeichen">
    <w:name w:val="annotation reference"/>
    <w:basedOn w:val="Absatz-Standardschriftart"/>
    <w:semiHidden/>
    <w:unhideWhenUsed/>
    <w:rsid w:val="001A62EE"/>
    <w:rPr>
      <w:sz w:val="16"/>
      <w:szCs w:val="16"/>
    </w:rPr>
  </w:style>
  <w:style w:type="paragraph" w:styleId="Kommentartext">
    <w:name w:val="annotation text"/>
    <w:basedOn w:val="Standard"/>
    <w:link w:val="KommentartextZchn"/>
    <w:unhideWhenUsed/>
    <w:rsid w:val="001A62EE"/>
    <w:rPr>
      <w:sz w:val="20"/>
      <w:szCs w:val="20"/>
    </w:rPr>
  </w:style>
  <w:style w:type="character" w:customStyle="1" w:styleId="KommentartextZchn">
    <w:name w:val="Kommentartext Zchn"/>
    <w:basedOn w:val="Absatz-Standardschriftart"/>
    <w:link w:val="Kommentartext"/>
    <w:rsid w:val="001A62EE"/>
    <w:rPr>
      <w:rFonts w:ascii="Arial" w:hAnsi="Arial"/>
      <w:lang w:eastAsia="de-DE"/>
    </w:rPr>
  </w:style>
  <w:style w:type="paragraph" w:styleId="Kommentarthema">
    <w:name w:val="annotation subject"/>
    <w:basedOn w:val="Kommentartext"/>
    <w:next w:val="Kommentartext"/>
    <w:link w:val="KommentarthemaZchn"/>
    <w:semiHidden/>
    <w:unhideWhenUsed/>
    <w:rsid w:val="001A62EE"/>
    <w:rPr>
      <w:b/>
      <w:bCs/>
    </w:rPr>
  </w:style>
  <w:style w:type="character" w:customStyle="1" w:styleId="KommentarthemaZchn">
    <w:name w:val="Kommentarthema Zchn"/>
    <w:basedOn w:val="KommentartextZchn"/>
    <w:link w:val="Kommentarthema"/>
    <w:semiHidden/>
    <w:rsid w:val="001A62EE"/>
    <w:rPr>
      <w:rFonts w:ascii="Arial" w:hAnsi="Arial"/>
      <w:b/>
      <w:bCs/>
      <w:lang w:eastAsia="de-DE"/>
    </w:rPr>
  </w:style>
  <w:style w:type="paragraph" w:styleId="Endnotentext">
    <w:name w:val="endnote text"/>
    <w:basedOn w:val="Standard"/>
    <w:link w:val="EndnotentextZchn"/>
    <w:semiHidden/>
    <w:unhideWhenUsed/>
    <w:rsid w:val="002C3879"/>
    <w:rPr>
      <w:sz w:val="20"/>
      <w:szCs w:val="20"/>
    </w:rPr>
  </w:style>
  <w:style w:type="character" w:customStyle="1" w:styleId="EndnotentextZchn">
    <w:name w:val="Endnotentext Zchn"/>
    <w:basedOn w:val="Absatz-Standardschriftart"/>
    <w:link w:val="Endnotentext"/>
    <w:semiHidden/>
    <w:rsid w:val="002C3879"/>
    <w:rPr>
      <w:rFonts w:ascii="Arial" w:hAnsi="Arial"/>
      <w:lang w:eastAsia="de-DE"/>
    </w:rPr>
  </w:style>
  <w:style w:type="character" w:styleId="Endnotenzeichen">
    <w:name w:val="endnote reference"/>
    <w:basedOn w:val="Absatz-Standardschriftart"/>
    <w:semiHidden/>
    <w:unhideWhenUsed/>
    <w:rsid w:val="002C3879"/>
    <w:rPr>
      <w:vertAlign w:val="superscript"/>
    </w:rPr>
  </w:style>
  <w:style w:type="paragraph" w:styleId="Listenabsatz">
    <w:name w:val="List Paragraph"/>
    <w:basedOn w:val="Standard"/>
    <w:uiPriority w:val="34"/>
    <w:qFormat/>
    <w:rsid w:val="00C2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75"/>
          <w:marBottom w:val="75"/>
          <w:divBdr>
            <w:top w:val="none" w:sz="0" w:space="0" w:color="auto"/>
            <w:left w:val="none" w:sz="0" w:space="0" w:color="auto"/>
            <w:bottom w:val="none" w:sz="0" w:space="0" w:color="auto"/>
            <w:right w:val="none" w:sz="0" w:space="0" w:color="auto"/>
          </w:divBdr>
          <w:divsChild>
            <w:div w:id="16">
              <w:marLeft w:val="0"/>
              <w:marRight w:val="0"/>
              <w:marTop w:val="372"/>
              <w:marBottom w:val="0"/>
              <w:divBdr>
                <w:top w:val="none" w:sz="0" w:space="0" w:color="auto"/>
                <w:left w:val="none" w:sz="0" w:space="0" w:color="auto"/>
                <w:bottom w:val="none" w:sz="0" w:space="0" w:color="auto"/>
                <w:right w:val="none" w:sz="0" w:space="0" w:color="auto"/>
              </w:divBdr>
              <w:divsChild>
                <w:div w:id="15">
                  <w:marLeft w:val="0"/>
                  <w:marRight w:val="0"/>
                  <w:marTop w:val="120"/>
                  <w:marBottom w:val="0"/>
                  <w:divBdr>
                    <w:top w:val="single" w:sz="6" w:space="6" w:color="9D9C9C"/>
                    <w:left w:val="single" w:sz="6" w:space="6" w:color="9D9C9C"/>
                    <w:bottom w:val="single" w:sz="6" w:space="6" w:color="9D9C9C"/>
                    <w:right w:val="single" w:sz="6" w:space="6" w:color="9D9C9C"/>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24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75"/>
          <w:marBottom w:val="75"/>
          <w:divBdr>
            <w:top w:val="none" w:sz="0" w:space="0" w:color="auto"/>
            <w:left w:val="none" w:sz="0" w:space="0" w:color="auto"/>
            <w:bottom w:val="none" w:sz="0" w:space="0" w:color="auto"/>
            <w:right w:val="none" w:sz="0" w:space="0" w:color="auto"/>
          </w:divBdr>
          <w:divsChild>
            <w:div w:id="13">
              <w:marLeft w:val="0"/>
              <w:marRight w:val="0"/>
              <w:marTop w:val="372"/>
              <w:marBottom w:val="0"/>
              <w:divBdr>
                <w:top w:val="none" w:sz="0" w:space="0" w:color="auto"/>
                <w:left w:val="none" w:sz="0" w:space="0" w:color="auto"/>
                <w:bottom w:val="none" w:sz="0" w:space="0" w:color="auto"/>
                <w:right w:val="none" w:sz="0" w:space="0" w:color="auto"/>
              </w:divBdr>
              <w:divsChild>
                <w:div w:id="5">
                  <w:marLeft w:val="0"/>
                  <w:marRight w:val="0"/>
                  <w:marTop w:val="120"/>
                  <w:marBottom w:val="0"/>
                  <w:divBdr>
                    <w:top w:val="single" w:sz="6" w:space="6" w:color="9D9C9C"/>
                    <w:left w:val="single" w:sz="6" w:space="6" w:color="9D9C9C"/>
                    <w:bottom w:val="single" w:sz="6" w:space="6" w:color="9D9C9C"/>
                    <w:right w:val="single" w:sz="6" w:space="6" w:color="9D9C9C"/>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24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82626">
      <w:bodyDiv w:val="1"/>
      <w:marLeft w:val="0"/>
      <w:marRight w:val="0"/>
      <w:marTop w:val="0"/>
      <w:marBottom w:val="0"/>
      <w:divBdr>
        <w:top w:val="none" w:sz="0" w:space="0" w:color="auto"/>
        <w:left w:val="none" w:sz="0" w:space="0" w:color="auto"/>
        <w:bottom w:val="none" w:sz="0" w:space="0" w:color="auto"/>
        <w:right w:val="none" w:sz="0" w:space="0" w:color="auto"/>
      </w:divBdr>
      <w:divsChild>
        <w:div w:id="139809708">
          <w:marLeft w:val="0"/>
          <w:marRight w:val="0"/>
          <w:marTop w:val="75"/>
          <w:marBottom w:val="75"/>
          <w:divBdr>
            <w:top w:val="none" w:sz="0" w:space="0" w:color="auto"/>
            <w:left w:val="none" w:sz="0" w:space="0" w:color="auto"/>
            <w:bottom w:val="none" w:sz="0" w:space="0" w:color="auto"/>
            <w:right w:val="none" w:sz="0" w:space="0" w:color="auto"/>
          </w:divBdr>
          <w:divsChild>
            <w:div w:id="356272583">
              <w:marLeft w:val="0"/>
              <w:marRight w:val="0"/>
              <w:marTop w:val="372"/>
              <w:marBottom w:val="0"/>
              <w:divBdr>
                <w:top w:val="none" w:sz="0" w:space="0" w:color="auto"/>
                <w:left w:val="none" w:sz="0" w:space="0" w:color="auto"/>
                <w:bottom w:val="none" w:sz="0" w:space="0" w:color="auto"/>
                <w:right w:val="none" w:sz="0" w:space="0" w:color="auto"/>
              </w:divBdr>
              <w:divsChild>
                <w:div w:id="370620397">
                  <w:marLeft w:val="0"/>
                  <w:marRight w:val="0"/>
                  <w:marTop w:val="0"/>
                  <w:marBottom w:val="0"/>
                  <w:divBdr>
                    <w:top w:val="none" w:sz="0" w:space="0" w:color="auto"/>
                    <w:left w:val="none" w:sz="0" w:space="0" w:color="auto"/>
                    <w:bottom w:val="none" w:sz="0" w:space="0" w:color="auto"/>
                    <w:right w:val="none" w:sz="0" w:space="0" w:color="auto"/>
                  </w:divBdr>
                  <w:divsChild>
                    <w:div w:id="1157725427">
                      <w:marLeft w:val="0"/>
                      <w:marRight w:val="0"/>
                      <w:marTop w:val="120"/>
                      <w:marBottom w:val="0"/>
                      <w:divBdr>
                        <w:top w:val="single" w:sz="6" w:space="6" w:color="9D9C9C"/>
                        <w:left w:val="single" w:sz="6" w:space="6" w:color="9D9C9C"/>
                        <w:bottom w:val="single" w:sz="6" w:space="6" w:color="9D9C9C"/>
                        <w:right w:val="single" w:sz="6" w:space="6" w:color="9D9C9C"/>
                      </w:divBdr>
                      <w:divsChild>
                        <w:div w:id="1156913923">
                          <w:marLeft w:val="0"/>
                          <w:marRight w:val="0"/>
                          <w:marTop w:val="0"/>
                          <w:marBottom w:val="0"/>
                          <w:divBdr>
                            <w:top w:val="none" w:sz="0" w:space="0" w:color="auto"/>
                            <w:left w:val="none" w:sz="0" w:space="0" w:color="auto"/>
                            <w:bottom w:val="none" w:sz="0" w:space="0" w:color="auto"/>
                            <w:right w:val="none" w:sz="0" w:space="0" w:color="auto"/>
                          </w:divBdr>
                          <w:divsChild>
                            <w:div w:id="1836337649">
                              <w:marLeft w:val="0"/>
                              <w:marRight w:val="0"/>
                              <w:marTop w:val="240"/>
                              <w:marBottom w:val="0"/>
                              <w:divBdr>
                                <w:top w:val="none" w:sz="0" w:space="0" w:color="auto"/>
                                <w:left w:val="none" w:sz="0" w:space="0" w:color="auto"/>
                                <w:bottom w:val="none" w:sz="0" w:space="0" w:color="auto"/>
                                <w:right w:val="none" w:sz="0" w:space="0" w:color="auto"/>
                              </w:divBdr>
                              <w:divsChild>
                                <w:div w:id="448669281">
                                  <w:marLeft w:val="0"/>
                                  <w:marRight w:val="0"/>
                                  <w:marTop w:val="0"/>
                                  <w:marBottom w:val="0"/>
                                  <w:divBdr>
                                    <w:top w:val="none" w:sz="0" w:space="0" w:color="auto"/>
                                    <w:left w:val="none" w:sz="0" w:space="0" w:color="auto"/>
                                    <w:bottom w:val="none" w:sz="0" w:space="0" w:color="auto"/>
                                    <w:right w:val="none" w:sz="0" w:space="0" w:color="auto"/>
                                  </w:divBdr>
                                  <w:divsChild>
                                    <w:div w:id="11222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26852">
      <w:bodyDiv w:val="1"/>
      <w:marLeft w:val="0"/>
      <w:marRight w:val="0"/>
      <w:marTop w:val="0"/>
      <w:marBottom w:val="0"/>
      <w:divBdr>
        <w:top w:val="none" w:sz="0" w:space="0" w:color="auto"/>
        <w:left w:val="none" w:sz="0" w:space="0" w:color="auto"/>
        <w:bottom w:val="none" w:sz="0" w:space="0" w:color="auto"/>
        <w:right w:val="none" w:sz="0" w:space="0" w:color="auto"/>
      </w:divBdr>
      <w:divsChild>
        <w:div w:id="1940285552">
          <w:marLeft w:val="0"/>
          <w:marRight w:val="0"/>
          <w:marTop w:val="75"/>
          <w:marBottom w:val="75"/>
          <w:divBdr>
            <w:top w:val="none" w:sz="0" w:space="0" w:color="auto"/>
            <w:left w:val="none" w:sz="0" w:space="0" w:color="auto"/>
            <w:bottom w:val="none" w:sz="0" w:space="0" w:color="auto"/>
            <w:right w:val="none" w:sz="0" w:space="0" w:color="auto"/>
          </w:divBdr>
          <w:divsChild>
            <w:div w:id="743062432">
              <w:marLeft w:val="0"/>
              <w:marRight w:val="0"/>
              <w:marTop w:val="372"/>
              <w:marBottom w:val="0"/>
              <w:divBdr>
                <w:top w:val="none" w:sz="0" w:space="0" w:color="auto"/>
                <w:left w:val="none" w:sz="0" w:space="0" w:color="auto"/>
                <w:bottom w:val="none" w:sz="0" w:space="0" w:color="auto"/>
                <w:right w:val="none" w:sz="0" w:space="0" w:color="auto"/>
              </w:divBdr>
              <w:divsChild>
                <w:div w:id="1075931475">
                  <w:marLeft w:val="0"/>
                  <w:marRight w:val="0"/>
                  <w:marTop w:val="0"/>
                  <w:marBottom w:val="0"/>
                  <w:divBdr>
                    <w:top w:val="none" w:sz="0" w:space="0" w:color="auto"/>
                    <w:left w:val="none" w:sz="0" w:space="0" w:color="auto"/>
                    <w:bottom w:val="none" w:sz="0" w:space="0" w:color="auto"/>
                    <w:right w:val="none" w:sz="0" w:space="0" w:color="auto"/>
                  </w:divBdr>
                  <w:divsChild>
                    <w:div w:id="1779762962">
                      <w:marLeft w:val="0"/>
                      <w:marRight w:val="0"/>
                      <w:marTop w:val="120"/>
                      <w:marBottom w:val="0"/>
                      <w:divBdr>
                        <w:top w:val="single" w:sz="6" w:space="6" w:color="9D9C9C"/>
                        <w:left w:val="single" w:sz="6" w:space="6" w:color="9D9C9C"/>
                        <w:bottom w:val="single" w:sz="6" w:space="6" w:color="9D9C9C"/>
                        <w:right w:val="single" w:sz="6" w:space="6" w:color="9D9C9C"/>
                      </w:divBdr>
                      <w:divsChild>
                        <w:div w:id="537007745">
                          <w:marLeft w:val="0"/>
                          <w:marRight w:val="0"/>
                          <w:marTop w:val="0"/>
                          <w:marBottom w:val="0"/>
                          <w:divBdr>
                            <w:top w:val="none" w:sz="0" w:space="0" w:color="auto"/>
                            <w:left w:val="none" w:sz="0" w:space="0" w:color="auto"/>
                            <w:bottom w:val="none" w:sz="0" w:space="0" w:color="auto"/>
                            <w:right w:val="none" w:sz="0" w:space="0" w:color="auto"/>
                          </w:divBdr>
                          <w:divsChild>
                            <w:div w:id="1392922006">
                              <w:marLeft w:val="0"/>
                              <w:marRight w:val="0"/>
                              <w:marTop w:val="240"/>
                              <w:marBottom w:val="0"/>
                              <w:divBdr>
                                <w:top w:val="none" w:sz="0" w:space="0" w:color="auto"/>
                                <w:left w:val="none" w:sz="0" w:space="0" w:color="auto"/>
                                <w:bottom w:val="none" w:sz="0" w:space="0" w:color="auto"/>
                                <w:right w:val="none" w:sz="0" w:space="0" w:color="auto"/>
                              </w:divBdr>
                              <w:divsChild>
                                <w:div w:id="852498406">
                                  <w:marLeft w:val="0"/>
                                  <w:marRight w:val="0"/>
                                  <w:marTop w:val="0"/>
                                  <w:marBottom w:val="0"/>
                                  <w:divBdr>
                                    <w:top w:val="none" w:sz="0" w:space="0" w:color="auto"/>
                                    <w:left w:val="none" w:sz="0" w:space="0" w:color="auto"/>
                                    <w:bottom w:val="none" w:sz="0" w:space="0" w:color="auto"/>
                                    <w:right w:val="none" w:sz="0" w:space="0" w:color="auto"/>
                                  </w:divBdr>
                                  <w:divsChild>
                                    <w:div w:id="657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3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2573-C282-440B-8CFB-09E445DD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INTERESSENTENBEITRAGSSTELLE</vt:lpstr>
    </vt:vector>
  </TitlesOfParts>
  <Company>Technologie GmbH</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INTERESSENTENBEITRAGSSTELLE</dc:title>
  <dc:creator>TTG</dc:creator>
  <cp:lastModifiedBy>Mühlböck Elke</cp:lastModifiedBy>
  <cp:revision>5</cp:revision>
  <cp:lastPrinted>2019-12-03T09:03:00Z</cp:lastPrinted>
  <dcterms:created xsi:type="dcterms:W3CDTF">2020-02-17T06:27:00Z</dcterms:created>
  <dcterms:modified xsi:type="dcterms:W3CDTF">2020-02-17T07:11:00Z</dcterms:modified>
</cp:coreProperties>
</file>